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E90B4" w14:textId="77777777" w:rsidR="00AD2DA9" w:rsidRPr="00F87898" w:rsidRDefault="000C1EFB" w:rsidP="00E92EA2">
      <w:pPr>
        <w:spacing w:after="0" w:line="240" w:lineRule="auto"/>
        <w:rPr>
          <w:b/>
          <w:lang w:val="es-ES_tradnl"/>
        </w:rPr>
      </w:pPr>
      <w:r>
        <w:rPr>
          <w:noProof/>
          <w:lang w:eastAsia="en-GB"/>
        </w:rPr>
        <w:drawing>
          <wp:anchor distT="0" distB="0" distL="114300" distR="114300" simplePos="0" relativeHeight="251658240" behindDoc="1" locked="0" layoutInCell="1" allowOverlap="1" wp14:anchorId="58EE90ED" wp14:editId="3ACBF764">
            <wp:simplePos x="0" y="0"/>
            <wp:positionH relativeFrom="column">
              <wp:posOffset>3983990</wp:posOffset>
            </wp:positionH>
            <wp:positionV relativeFrom="paragraph">
              <wp:posOffset>0</wp:posOffset>
            </wp:positionV>
            <wp:extent cx="2244031" cy="619309"/>
            <wp:effectExtent l="0" t="0" r="4445" b="9525"/>
            <wp:wrapTight wrapText="bothSides">
              <wp:wrapPolygon edited="0">
                <wp:start x="0" y="0"/>
                <wp:lineTo x="0" y="21268"/>
                <wp:lineTo x="21459" y="21268"/>
                <wp:lineTo x="21459" y="0"/>
                <wp:lineTo x="0" y="0"/>
              </wp:wrapPolygon>
            </wp:wrapTight>
            <wp:docPr id="1" name="Picture 1" descr="FESPA &#10;&#10;Profit for Pur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4031" cy="619309"/>
                    </a:xfrm>
                    <a:prstGeom prst="rect">
                      <a:avLst/>
                    </a:prstGeom>
                  </pic:spPr>
                </pic:pic>
              </a:graphicData>
            </a:graphic>
          </wp:anchor>
        </w:drawing>
      </w:r>
      <w:r>
        <w:rPr>
          <w:b/>
          <w:bCs/>
          <w:noProof/>
          <w:lang w:val="es"/>
        </w:rPr>
        <w:t>COMUNICADO DE PRENSA</w:t>
      </w:r>
    </w:p>
    <w:p w14:paraId="58EE90B5" w14:textId="00768A82" w:rsidR="00AD2DA9" w:rsidRPr="00F87898" w:rsidRDefault="00643C09" w:rsidP="00E92EA2">
      <w:pPr>
        <w:spacing w:after="0" w:line="240" w:lineRule="auto"/>
        <w:rPr>
          <w:lang w:val="es-ES_tradnl"/>
        </w:rPr>
      </w:pPr>
      <w:r>
        <w:rPr>
          <w:lang w:val="es"/>
        </w:rPr>
        <w:t xml:space="preserve">6 </w:t>
      </w:r>
      <w:r w:rsidR="00E92EA2">
        <w:rPr>
          <w:lang w:val="es"/>
        </w:rPr>
        <w:t xml:space="preserve">de octubre </w:t>
      </w:r>
      <w:r w:rsidR="00F87898">
        <w:rPr>
          <w:lang w:val="es"/>
        </w:rPr>
        <w:t>d</w:t>
      </w:r>
      <w:r w:rsidR="00E92EA2">
        <w:rPr>
          <w:lang w:val="es"/>
        </w:rPr>
        <w:t>e 2014</w:t>
      </w:r>
    </w:p>
    <w:p w14:paraId="58EE90B6" w14:textId="77777777" w:rsidR="00AD2DA9" w:rsidRPr="00F87898" w:rsidRDefault="00AD2DA9" w:rsidP="00AD2DA9">
      <w:pPr>
        <w:spacing w:line="360" w:lineRule="auto"/>
        <w:rPr>
          <w:b/>
          <w:lang w:val="es-ES_tradnl"/>
        </w:rPr>
      </w:pPr>
    </w:p>
    <w:p w14:paraId="58EE90B7" w14:textId="77777777" w:rsidR="00E92EA2" w:rsidRPr="00F87898" w:rsidRDefault="00E92EA2" w:rsidP="00310532">
      <w:pPr>
        <w:pStyle w:val="Heading1"/>
        <w:jc w:val="center"/>
        <w:rPr>
          <w:rFonts w:asciiTheme="minorHAnsi" w:hAnsiTheme="minorHAnsi"/>
          <w:b/>
          <w:color w:val="auto"/>
          <w:sz w:val="22"/>
          <w:szCs w:val="22"/>
          <w:lang w:val="es-ES_tradnl"/>
        </w:rPr>
      </w:pPr>
    </w:p>
    <w:p w14:paraId="58EE90B8" w14:textId="77777777" w:rsidR="002B3FDE" w:rsidRPr="00F87898" w:rsidRDefault="002B3FDE" w:rsidP="00310532">
      <w:pPr>
        <w:pStyle w:val="Heading1"/>
        <w:jc w:val="center"/>
        <w:rPr>
          <w:rFonts w:asciiTheme="minorHAnsi" w:hAnsiTheme="minorHAnsi"/>
          <w:b/>
          <w:color w:val="auto"/>
          <w:sz w:val="22"/>
          <w:szCs w:val="22"/>
          <w:lang w:val="es-ES_tradnl"/>
        </w:rPr>
      </w:pPr>
      <w:r>
        <w:rPr>
          <w:rFonts w:asciiTheme="minorHAnsi" w:hAnsiTheme="minorHAnsi"/>
          <w:b/>
          <w:bCs/>
          <w:color w:val="auto"/>
          <w:sz w:val="22"/>
          <w:szCs w:val="22"/>
          <w:lang w:val="es"/>
        </w:rPr>
        <w:t>FESPA REAFIRMA SU COMPROMISO CON LA EDUCACIÓN MEDIOAMBIENTAL CON EL NUEVO LANZAMIENTO DE SU GUÍA PLANET FRIENDLY EN FORMATO MINIGUÍAS</w:t>
      </w:r>
    </w:p>
    <w:p w14:paraId="58EE90B9" w14:textId="77777777" w:rsidR="00E92EA2" w:rsidRPr="00F87898" w:rsidRDefault="00E92EA2" w:rsidP="00E92EA2">
      <w:pPr>
        <w:rPr>
          <w:lang w:val="es-ES_tradnl"/>
        </w:rPr>
      </w:pPr>
    </w:p>
    <w:p w14:paraId="58EE90BA" w14:textId="77777777" w:rsidR="00060926" w:rsidRPr="00F87898" w:rsidRDefault="00532E70" w:rsidP="00060926">
      <w:pPr>
        <w:spacing w:line="360" w:lineRule="auto"/>
        <w:rPr>
          <w:lang w:val="es-ES_tradnl"/>
        </w:rPr>
      </w:pPr>
      <w:r>
        <w:rPr>
          <w:lang w:val="es"/>
        </w:rPr>
        <w:t>FESPA ha vuelto a presentar su conocida guía Planet Friendly en un nuevo formato que consta de una serie de “miniguías”.</w:t>
      </w:r>
    </w:p>
    <w:p w14:paraId="58EE90BB" w14:textId="77777777" w:rsidR="0004657D" w:rsidRPr="00F87898" w:rsidRDefault="00BD63CD" w:rsidP="00AD2DA9">
      <w:pPr>
        <w:spacing w:line="360" w:lineRule="auto"/>
        <w:rPr>
          <w:lang w:val="es-ES_tradnl"/>
        </w:rPr>
      </w:pPr>
      <w:r>
        <w:rPr>
          <w:lang w:val="es"/>
        </w:rPr>
        <w:t>Publicada originalmente en 2007 como un único documento, la guía Friendly Planet de FESPA ha sido rediseñada con un formato de guía introductoria y 10 guías especializadas por temas. Los miembros de las 37 asociaciones nacionales de FESPA pueden acceder gratuitamente a estas guías.</w:t>
      </w:r>
    </w:p>
    <w:p w14:paraId="58EE90BC" w14:textId="77777777" w:rsidR="0004657D" w:rsidRPr="00F87898" w:rsidRDefault="00A37F54" w:rsidP="00AD2DA9">
      <w:pPr>
        <w:spacing w:line="360" w:lineRule="auto"/>
        <w:rPr>
          <w:lang w:val="es-ES_tradnl"/>
        </w:rPr>
      </w:pPr>
      <w:r>
        <w:rPr>
          <w:lang w:val="es"/>
        </w:rPr>
        <w:t xml:space="preserve">Ahora las guías tratan áreas diferenciadas, que ayudan a plantear la impresión digital y serigráfica en términos de sostenibilidad. De esta manera se reconoce la necesidad de disponer de información concreta relativa a los procesos de impresión de las propias imprentas y a las prioridades empresariales, facilitando a las imprentas el acceso a las cuestiones que más les importan. </w:t>
      </w:r>
    </w:p>
    <w:p w14:paraId="58EE90BD" w14:textId="77777777" w:rsidR="0004657D" w:rsidRPr="00F87898" w:rsidRDefault="00A37F54" w:rsidP="0004657D">
      <w:pPr>
        <w:spacing w:line="360" w:lineRule="auto"/>
        <w:rPr>
          <w:lang w:val="es-ES_tradnl"/>
        </w:rPr>
      </w:pPr>
      <w:r>
        <w:rPr>
          <w:lang w:val="es"/>
        </w:rPr>
        <w:t xml:space="preserve">Además de la guía de introducción titulada «Sostenibilidad y el futuro: ¿cómo pueden las imprentas afrontar el futuro?», las 10 guías especializadas abordan estos temas:  </w:t>
      </w:r>
      <w:bookmarkStart w:id="0" w:name="_GoBack"/>
      <w:bookmarkEnd w:id="0"/>
    </w:p>
    <w:p w14:paraId="58EE90BE" w14:textId="77777777" w:rsidR="0004657D" w:rsidRDefault="0004657D" w:rsidP="0004657D">
      <w:pPr>
        <w:pStyle w:val="ListParagraph"/>
        <w:numPr>
          <w:ilvl w:val="0"/>
          <w:numId w:val="2"/>
        </w:numPr>
        <w:spacing w:line="360" w:lineRule="auto"/>
      </w:pPr>
      <w:r>
        <w:rPr>
          <w:lang w:val="es"/>
        </w:rPr>
        <w:t>Contaminación (impresoras serigráficas)</w:t>
      </w:r>
    </w:p>
    <w:p w14:paraId="58EE90BF" w14:textId="77777777" w:rsidR="0004657D" w:rsidRDefault="0004657D" w:rsidP="0004657D">
      <w:pPr>
        <w:pStyle w:val="ListParagraph"/>
        <w:numPr>
          <w:ilvl w:val="0"/>
          <w:numId w:val="2"/>
        </w:numPr>
        <w:spacing w:line="360" w:lineRule="auto"/>
      </w:pPr>
      <w:r>
        <w:rPr>
          <w:lang w:val="es"/>
        </w:rPr>
        <w:t>Contaminación (impresoras digitales)</w:t>
      </w:r>
    </w:p>
    <w:p w14:paraId="58EE90C0" w14:textId="77777777" w:rsidR="0004657D" w:rsidRDefault="0004657D" w:rsidP="0004657D">
      <w:pPr>
        <w:pStyle w:val="ListParagraph"/>
        <w:numPr>
          <w:ilvl w:val="0"/>
          <w:numId w:val="2"/>
        </w:numPr>
        <w:spacing w:line="360" w:lineRule="auto"/>
      </w:pPr>
      <w:r>
        <w:rPr>
          <w:lang w:val="es"/>
        </w:rPr>
        <w:t>Sustancias peligrosas (impresoras serigráficas)</w:t>
      </w:r>
    </w:p>
    <w:p w14:paraId="58EE90C1" w14:textId="77777777" w:rsidR="0004657D" w:rsidRPr="00F87898" w:rsidRDefault="0004657D" w:rsidP="0004657D">
      <w:pPr>
        <w:pStyle w:val="ListParagraph"/>
        <w:numPr>
          <w:ilvl w:val="0"/>
          <w:numId w:val="2"/>
        </w:numPr>
        <w:spacing w:line="360" w:lineRule="auto"/>
        <w:rPr>
          <w:lang w:val="es-ES_tradnl"/>
        </w:rPr>
      </w:pPr>
      <w:r>
        <w:rPr>
          <w:lang w:val="es"/>
        </w:rPr>
        <w:t>Emisiones al agua (impresoras serigráficas)</w:t>
      </w:r>
    </w:p>
    <w:p w14:paraId="58EE90C2" w14:textId="77777777" w:rsidR="0004657D" w:rsidRPr="00F87898" w:rsidRDefault="0004657D" w:rsidP="0004657D">
      <w:pPr>
        <w:pStyle w:val="ListParagraph"/>
        <w:numPr>
          <w:ilvl w:val="0"/>
          <w:numId w:val="2"/>
        </w:numPr>
        <w:spacing w:line="360" w:lineRule="auto"/>
        <w:rPr>
          <w:lang w:val="es-ES_tradnl"/>
        </w:rPr>
      </w:pPr>
      <w:r>
        <w:rPr>
          <w:lang w:val="es"/>
        </w:rPr>
        <w:t>Emisiones al aire (impresoras serigráficas y digitales)</w:t>
      </w:r>
    </w:p>
    <w:p w14:paraId="58EE90C3" w14:textId="77777777" w:rsidR="0004657D" w:rsidRDefault="0004657D" w:rsidP="0004657D">
      <w:pPr>
        <w:pStyle w:val="ListParagraph"/>
        <w:numPr>
          <w:ilvl w:val="0"/>
          <w:numId w:val="2"/>
        </w:numPr>
        <w:spacing w:line="360" w:lineRule="auto"/>
      </w:pPr>
      <w:r>
        <w:rPr>
          <w:lang w:val="es"/>
        </w:rPr>
        <w:t>Residuos (impresoras serigráficas)</w:t>
      </w:r>
    </w:p>
    <w:p w14:paraId="58EE90C4" w14:textId="77777777" w:rsidR="0004657D" w:rsidRDefault="0004657D" w:rsidP="0004657D">
      <w:pPr>
        <w:pStyle w:val="ListParagraph"/>
        <w:numPr>
          <w:ilvl w:val="0"/>
          <w:numId w:val="2"/>
        </w:numPr>
        <w:spacing w:line="360" w:lineRule="auto"/>
      </w:pPr>
      <w:r>
        <w:rPr>
          <w:lang w:val="es"/>
        </w:rPr>
        <w:t>Residuos (impresoras digitales)</w:t>
      </w:r>
    </w:p>
    <w:p w14:paraId="58EE90C5" w14:textId="77777777" w:rsidR="0004657D" w:rsidRPr="00F87898" w:rsidRDefault="0004657D" w:rsidP="0004657D">
      <w:pPr>
        <w:pStyle w:val="ListParagraph"/>
        <w:numPr>
          <w:ilvl w:val="0"/>
          <w:numId w:val="2"/>
        </w:numPr>
        <w:spacing w:line="360" w:lineRule="auto"/>
        <w:rPr>
          <w:lang w:val="es-ES_tradnl"/>
        </w:rPr>
      </w:pPr>
      <w:r>
        <w:rPr>
          <w:lang w:val="es"/>
        </w:rPr>
        <w:t>Papel y otros sustratos (impresoras serigráficas y digitales)</w:t>
      </w:r>
    </w:p>
    <w:p w14:paraId="58EE90C6" w14:textId="77777777" w:rsidR="00A37F54" w:rsidRPr="00F87898" w:rsidRDefault="00A37F54" w:rsidP="0004657D">
      <w:pPr>
        <w:pStyle w:val="ListParagraph"/>
        <w:numPr>
          <w:ilvl w:val="0"/>
          <w:numId w:val="2"/>
        </w:numPr>
        <w:spacing w:line="360" w:lineRule="auto"/>
        <w:rPr>
          <w:lang w:val="es-ES_tradnl"/>
        </w:rPr>
      </w:pPr>
      <w:r>
        <w:rPr>
          <w:lang w:val="es"/>
        </w:rPr>
        <w:t>Técnicas de gestión medioambiental (impresoras serigráficas)</w:t>
      </w:r>
    </w:p>
    <w:p w14:paraId="58EE90C7" w14:textId="77777777" w:rsidR="00A37F54" w:rsidRPr="00F87898" w:rsidRDefault="00A37F54" w:rsidP="0004657D">
      <w:pPr>
        <w:pStyle w:val="ListParagraph"/>
        <w:numPr>
          <w:ilvl w:val="0"/>
          <w:numId w:val="2"/>
        </w:numPr>
        <w:spacing w:line="360" w:lineRule="auto"/>
        <w:rPr>
          <w:lang w:val="es-ES_tradnl"/>
        </w:rPr>
      </w:pPr>
      <w:r>
        <w:rPr>
          <w:lang w:val="es"/>
        </w:rPr>
        <w:t>Energía (impresoras serigráficas y digitales)</w:t>
      </w:r>
    </w:p>
    <w:p w14:paraId="58EE90C8" w14:textId="77777777" w:rsidR="00BD63CD" w:rsidRPr="00F87898" w:rsidRDefault="002D4478" w:rsidP="00AD2DA9">
      <w:pPr>
        <w:spacing w:line="360" w:lineRule="auto"/>
        <w:rPr>
          <w:lang w:val="es-ES_tradnl"/>
        </w:rPr>
      </w:pPr>
      <w:r>
        <w:rPr>
          <w:lang w:val="es"/>
        </w:rPr>
        <w:t xml:space="preserve">Sean Holt, secretario general de FESPA, comenta: “La legislación y las buenas prácticas están en constante evolución en nuestro sector, y es obvio que las guías Planet Friendly deben incorporar estos cambios. Además, hemos aprovechado la ocasión para actualizar el estilo de las guías y hacer su lectura más amena. Mantenerse al corriente de los cambios legislativos puede suponer una </w:t>
      </w:r>
      <w:r>
        <w:rPr>
          <w:lang w:val="es"/>
        </w:rPr>
        <w:lastRenderedPageBreak/>
        <w:t>pérdida de tiempo inasumible, especialmente para las pequeñas y medianas empresas. Con este formato más digerible y práctico, las imprentas podrán focalizarse en aquellas áreas específicas de su actividad en las que puedan aplicar mejores prácticas medioambientales de una manera práctica y efectiva».</w:t>
      </w:r>
    </w:p>
    <w:p w14:paraId="58EE90C9" w14:textId="77777777" w:rsidR="00411720" w:rsidRPr="00F87898" w:rsidRDefault="00411720" w:rsidP="00411720">
      <w:pPr>
        <w:spacing w:line="360" w:lineRule="auto"/>
        <w:rPr>
          <w:lang w:val="es-ES_tradnl"/>
        </w:rPr>
      </w:pPr>
      <w:r>
        <w:rPr>
          <w:lang w:val="es"/>
        </w:rPr>
        <w:t>Estas guías han sido creadas gracias a la experta colaboración de Michel Caza y Paul Machin, dos voces destacadas en el sector con amplios conocimientos y experiencias prácticas en todos los asuntos relacionados con la optimización de los resultados medioambientales.</w:t>
      </w:r>
    </w:p>
    <w:p w14:paraId="58EE90CA" w14:textId="77777777" w:rsidR="00F60110" w:rsidRPr="00F87898" w:rsidRDefault="00E0181A" w:rsidP="00AD2DA9">
      <w:pPr>
        <w:spacing w:line="360" w:lineRule="auto"/>
        <w:rPr>
          <w:lang w:val="es-ES_tradnl"/>
        </w:rPr>
      </w:pPr>
      <w:r>
        <w:rPr>
          <w:lang w:val="es"/>
        </w:rPr>
        <w:t xml:space="preserve">Los trabajos de investigación y de creación de las guías Planet Friendly han sido financiados gracias al programa Profit for Purpose de FESPA, que ya ha reinvertido millones de euros generados por las exposiciones globales de FESPA en distintos proyectos de todo el mundo con el objetivo de dar soporte a la comunidad global de impresión de FESPA. </w:t>
      </w:r>
    </w:p>
    <w:p w14:paraId="58EE90CB" w14:textId="77777777" w:rsidR="00D05411" w:rsidRPr="00F87898" w:rsidRDefault="00800635" w:rsidP="00AD2DA9">
      <w:pPr>
        <w:spacing w:line="360" w:lineRule="auto"/>
        <w:rPr>
          <w:lang w:val="es-ES_tradnl"/>
        </w:rPr>
      </w:pPr>
      <w:r>
        <w:rPr>
          <w:lang w:val="es"/>
        </w:rPr>
        <w:t>Las guías Planet Friendly forman parte de un programa de mayor alcance de FESPA denominado Planet Friendly, que incorpora asesoría medioambiental, buenas prácticas y casos prácticos al programa de visitas formativas de todos los eventos globales de FESPA.</w:t>
      </w:r>
    </w:p>
    <w:p w14:paraId="58EE90CC" w14:textId="77777777" w:rsidR="00EC62CA" w:rsidRPr="00F87898" w:rsidRDefault="00310532" w:rsidP="00AD2DA9">
      <w:pPr>
        <w:spacing w:line="360" w:lineRule="auto"/>
        <w:rPr>
          <w:lang w:val="es-ES_tradnl"/>
        </w:rPr>
      </w:pPr>
      <w:r>
        <w:rPr>
          <w:lang w:val="es"/>
        </w:rPr>
        <w:t xml:space="preserve">En este momento las guías Planet Friendly están disponibles en inglés, pero próximamente se traducirán al francés, italiano, alemán y español. </w:t>
      </w:r>
    </w:p>
    <w:p w14:paraId="58EE90CD" w14:textId="77777777" w:rsidR="00EC62CA" w:rsidRPr="00F87898" w:rsidRDefault="007957C3" w:rsidP="00AD2DA9">
      <w:pPr>
        <w:spacing w:line="360" w:lineRule="auto"/>
        <w:rPr>
          <w:b/>
          <w:lang w:val="es-ES_tradnl"/>
        </w:rPr>
      </w:pPr>
      <w:r>
        <w:rPr>
          <w:lang w:val="es"/>
        </w:rPr>
        <w:t xml:space="preserve">Si desea información para formar parte de su asociación local de FESPA, visite </w:t>
      </w:r>
      <w:hyperlink r:id="rId9" w:history="1">
        <w:r>
          <w:rPr>
            <w:rStyle w:val="Hyperlink"/>
            <w:lang w:val="es"/>
          </w:rPr>
          <w:t>www.fespa.com</w:t>
        </w:r>
      </w:hyperlink>
      <w:r>
        <w:rPr>
          <w:lang w:val="es"/>
        </w:rPr>
        <w:t xml:space="preserve">. </w:t>
      </w:r>
    </w:p>
    <w:p w14:paraId="58EE90CE" w14:textId="77777777" w:rsidR="00AD2DA9" w:rsidRDefault="00AD2DA9" w:rsidP="00EC62CA">
      <w:pPr>
        <w:spacing w:line="360" w:lineRule="auto"/>
        <w:jc w:val="center"/>
        <w:rPr>
          <w:lang w:val="es"/>
        </w:rPr>
      </w:pPr>
      <w:r>
        <w:rPr>
          <w:lang w:val="es"/>
        </w:rPr>
        <w:t>FIN</w:t>
      </w:r>
    </w:p>
    <w:p w14:paraId="4BB40C9D" w14:textId="4A8DF277" w:rsidR="000A6420" w:rsidRPr="000A6420" w:rsidRDefault="000A6420" w:rsidP="00F87898">
      <w:pPr>
        <w:spacing w:after="0"/>
        <w:jc w:val="both"/>
        <w:rPr>
          <w:rFonts w:ascii="Calibri" w:hAnsi="Calibri"/>
          <w:b/>
          <w:bCs/>
          <w:sz w:val="20"/>
          <w:szCs w:val="20"/>
        </w:rPr>
      </w:pPr>
    </w:p>
    <w:p w14:paraId="398661C4" w14:textId="77777777" w:rsidR="000A6420" w:rsidRPr="000A6420" w:rsidRDefault="000A6420" w:rsidP="000A6420">
      <w:pPr>
        <w:spacing w:after="0"/>
        <w:jc w:val="both"/>
        <w:rPr>
          <w:rFonts w:ascii="Calibri" w:hAnsi="Calibri"/>
          <w:b/>
          <w:bCs/>
          <w:sz w:val="20"/>
          <w:szCs w:val="20"/>
        </w:rPr>
      </w:pPr>
      <w:r w:rsidRPr="000A6420">
        <w:rPr>
          <w:rFonts w:ascii="Calibri" w:hAnsi="Calibri"/>
          <w:b/>
          <w:bCs/>
          <w:sz w:val="20"/>
          <w:szCs w:val="20"/>
        </w:rPr>
        <w:t>Acerca de FESPA</w:t>
      </w:r>
    </w:p>
    <w:p w14:paraId="73615E10" w14:textId="77777777" w:rsidR="000A6420" w:rsidRPr="000A6420" w:rsidRDefault="000A6420" w:rsidP="000A6420">
      <w:pPr>
        <w:spacing w:after="0"/>
        <w:jc w:val="both"/>
        <w:rPr>
          <w:rFonts w:ascii="Calibri" w:hAnsi="Calibri"/>
          <w:bCs/>
          <w:sz w:val="20"/>
          <w:szCs w:val="20"/>
        </w:rPr>
      </w:pPr>
      <w:r w:rsidRPr="000A6420">
        <w:rPr>
          <w:rFonts w:ascii="Calibri" w:hAnsi="Calibri"/>
          <w:bCs/>
          <w:sz w:val="20"/>
          <w:szCs w:val="20"/>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79627F0D" w14:textId="77777777" w:rsidR="000A6420" w:rsidRPr="000A6420" w:rsidRDefault="000A6420" w:rsidP="000A6420">
      <w:pPr>
        <w:spacing w:after="0"/>
        <w:jc w:val="both"/>
        <w:rPr>
          <w:rFonts w:ascii="Calibri" w:hAnsi="Calibri"/>
          <w:bCs/>
          <w:sz w:val="20"/>
          <w:szCs w:val="20"/>
        </w:rPr>
      </w:pPr>
    </w:p>
    <w:p w14:paraId="52B0FDA6" w14:textId="77777777" w:rsidR="000A6420" w:rsidRPr="000A6420" w:rsidRDefault="000A6420" w:rsidP="000A6420">
      <w:pPr>
        <w:spacing w:after="0"/>
        <w:jc w:val="both"/>
        <w:rPr>
          <w:rFonts w:ascii="Calibri" w:hAnsi="Calibri"/>
          <w:b/>
          <w:bCs/>
          <w:sz w:val="20"/>
          <w:szCs w:val="20"/>
        </w:rPr>
      </w:pPr>
      <w:r w:rsidRPr="000A6420">
        <w:rPr>
          <w:rFonts w:ascii="Calibri" w:hAnsi="Calibri"/>
          <w:b/>
          <w:bCs/>
          <w:sz w:val="20"/>
          <w:szCs w:val="20"/>
        </w:rPr>
        <w:t>FESPA: Profit for Purpose (Beneficio con una finalidad)</w:t>
      </w:r>
    </w:p>
    <w:p w14:paraId="6AFFA0BE" w14:textId="77777777" w:rsidR="000A6420" w:rsidRPr="000A6420" w:rsidRDefault="000A6420" w:rsidP="000A6420">
      <w:pPr>
        <w:spacing w:after="0"/>
        <w:jc w:val="both"/>
        <w:rPr>
          <w:rFonts w:ascii="Calibri" w:hAnsi="Calibri"/>
          <w:bCs/>
          <w:sz w:val="20"/>
          <w:szCs w:val="20"/>
        </w:rPr>
      </w:pPr>
      <w:r w:rsidRPr="000A6420">
        <w:rPr>
          <w:rFonts w:ascii="Calibri" w:hAnsi="Calibri"/>
          <w:bCs/>
          <w:sz w:val="20"/>
          <w:szCs w:val="20"/>
        </w:rPr>
        <w:t xml:space="preserve">Nuestros accionistas son la industria. FESPA ha invertido millones de Euros en la comunidad global de impresión durante los últimos siete años, contribuyendo de esta manera al crecimiento del sector. Visite www.fespa.com para obtener más información. </w:t>
      </w:r>
    </w:p>
    <w:p w14:paraId="6BC69840" w14:textId="77777777" w:rsidR="000A6420" w:rsidRPr="000A6420" w:rsidRDefault="000A6420" w:rsidP="000A6420">
      <w:pPr>
        <w:spacing w:after="0"/>
        <w:jc w:val="both"/>
        <w:rPr>
          <w:rFonts w:ascii="Calibri" w:hAnsi="Calibri"/>
          <w:bCs/>
          <w:sz w:val="20"/>
          <w:szCs w:val="20"/>
        </w:rPr>
      </w:pPr>
    </w:p>
    <w:p w14:paraId="3CCBB993" w14:textId="77777777" w:rsidR="000A6420" w:rsidRPr="000A6420" w:rsidRDefault="000A6420" w:rsidP="000A6420">
      <w:pPr>
        <w:spacing w:after="0"/>
        <w:jc w:val="both"/>
        <w:rPr>
          <w:rFonts w:ascii="Calibri" w:hAnsi="Calibri"/>
          <w:b/>
          <w:bCs/>
          <w:sz w:val="20"/>
          <w:szCs w:val="20"/>
        </w:rPr>
      </w:pPr>
      <w:r w:rsidRPr="000A6420">
        <w:rPr>
          <w:rFonts w:ascii="Calibri" w:hAnsi="Calibri"/>
          <w:b/>
          <w:bCs/>
          <w:sz w:val="20"/>
          <w:szCs w:val="20"/>
        </w:rPr>
        <w:t>Las exposiciones que FESPA celebrará próximamente son:</w:t>
      </w:r>
    </w:p>
    <w:p w14:paraId="6E9B0CA6" w14:textId="77777777" w:rsidR="000A6420" w:rsidRPr="000A6420" w:rsidRDefault="000A6420" w:rsidP="000A6420">
      <w:pPr>
        <w:spacing w:after="0"/>
        <w:jc w:val="both"/>
        <w:rPr>
          <w:rFonts w:ascii="Calibri" w:hAnsi="Calibri"/>
          <w:bCs/>
          <w:sz w:val="20"/>
          <w:szCs w:val="20"/>
        </w:rPr>
      </w:pPr>
      <w:r w:rsidRPr="000A6420">
        <w:rPr>
          <w:rFonts w:ascii="Calibri" w:hAnsi="Calibri"/>
          <w:bCs/>
          <w:sz w:val="20"/>
          <w:szCs w:val="20"/>
        </w:rPr>
        <w:t>•</w:t>
      </w:r>
      <w:r w:rsidRPr="000A6420">
        <w:rPr>
          <w:rFonts w:ascii="Calibri" w:hAnsi="Calibri"/>
          <w:bCs/>
          <w:sz w:val="20"/>
          <w:szCs w:val="20"/>
        </w:rPr>
        <w:tab/>
        <w:t>FESPA China 2014, 19-21 Noviembre 2014, Guangzhou, China</w:t>
      </w:r>
    </w:p>
    <w:p w14:paraId="4D412AC0" w14:textId="77777777" w:rsidR="000A6420" w:rsidRPr="000A6420" w:rsidRDefault="000A6420" w:rsidP="000A6420">
      <w:pPr>
        <w:spacing w:after="0"/>
        <w:jc w:val="both"/>
        <w:rPr>
          <w:rFonts w:ascii="Calibri" w:hAnsi="Calibri"/>
          <w:bCs/>
          <w:sz w:val="20"/>
          <w:szCs w:val="20"/>
        </w:rPr>
      </w:pPr>
      <w:r w:rsidRPr="000A6420">
        <w:rPr>
          <w:rFonts w:ascii="Calibri" w:hAnsi="Calibri"/>
          <w:bCs/>
          <w:sz w:val="20"/>
          <w:szCs w:val="20"/>
        </w:rPr>
        <w:t>•</w:t>
      </w:r>
      <w:r w:rsidRPr="000A6420">
        <w:rPr>
          <w:rFonts w:ascii="Calibri" w:hAnsi="Calibri"/>
          <w:bCs/>
          <w:sz w:val="20"/>
          <w:szCs w:val="20"/>
        </w:rPr>
        <w:tab/>
        <w:t>FESPA Eurasia 2014, 4-7 Diciembre de 2014, CNR Expo, Estanbul, Turquía</w:t>
      </w:r>
    </w:p>
    <w:p w14:paraId="5811D7B3" w14:textId="77777777" w:rsidR="000A6420" w:rsidRPr="000A6420" w:rsidRDefault="000A6420" w:rsidP="000A6420">
      <w:pPr>
        <w:spacing w:after="0"/>
        <w:jc w:val="both"/>
        <w:rPr>
          <w:rFonts w:ascii="Calibri" w:hAnsi="Calibri"/>
          <w:bCs/>
          <w:sz w:val="20"/>
          <w:szCs w:val="20"/>
        </w:rPr>
      </w:pPr>
      <w:r w:rsidRPr="000A6420">
        <w:rPr>
          <w:rFonts w:ascii="Calibri" w:hAnsi="Calibri"/>
          <w:bCs/>
          <w:sz w:val="20"/>
          <w:szCs w:val="20"/>
        </w:rPr>
        <w:t>•</w:t>
      </w:r>
      <w:r w:rsidRPr="000A6420">
        <w:rPr>
          <w:rFonts w:ascii="Calibri" w:hAnsi="Calibri"/>
          <w:bCs/>
          <w:sz w:val="20"/>
          <w:szCs w:val="20"/>
        </w:rPr>
        <w:tab/>
        <w:t>FESPA Brasil 2015, 18-21 Marzo 2015, Expo Center Norte, São Paulo, Brasil</w:t>
      </w:r>
    </w:p>
    <w:p w14:paraId="3F8CC099" w14:textId="77777777" w:rsidR="000A6420" w:rsidRPr="000A6420" w:rsidRDefault="000A6420" w:rsidP="000A6420">
      <w:pPr>
        <w:spacing w:after="0"/>
        <w:jc w:val="both"/>
        <w:rPr>
          <w:rFonts w:ascii="Calibri" w:hAnsi="Calibri"/>
          <w:bCs/>
          <w:sz w:val="20"/>
          <w:szCs w:val="20"/>
        </w:rPr>
      </w:pPr>
      <w:r w:rsidRPr="000A6420">
        <w:rPr>
          <w:rFonts w:ascii="Calibri" w:hAnsi="Calibri"/>
          <w:bCs/>
          <w:sz w:val="20"/>
          <w:szCs w:val="20"/>
        </w:rPr>
        <w:t>•</w:t>
      </w:r>
      <w:r w:rsidRPr="000A6420">
        <w:rPr>
          <w:rFonts w:ascii="Calibri" w:hAnsi="Calibri"/>
          <w:bCs/>
          <w:sz w:val="20"/>
          <w:szCs w:val="20"/>
        </w:rPr>
        <w:tab/>
        <w:t>FESPA 2015, 18-22 Mayo 2015, Koelnmesse, Colonia, Alemania</w:t>
      </w:r>
    </w:p>
    <w:p w14:paraId="15C58DDE" w14:textId="77777777" w:rsidR="000A6420" w:rsidRPr="000A6420" w:rsidRDefault="000A6420" w:rsidP="000A6420">
      <w:pPr>
        <w:spacing w:after="0"/>
        <w:jc w:val="both"/>
        <w:rPr>
          <w:rFonts w:ascii="Calibri" w:hAnsi="Calibri"/>
          <w:bCs/>
          <w:sz w:val="20"/>
          <w:szCs w:val="20"/>
        </w:rPr>
      </w:pPr>
      <w:r w:rsidRPr="000A6420">
        <w:rPr>
          <w:rFonts w:ascii="Calibri" w:hAnsi="Calibri"/>
          <w:bCs/>
          <w:sz w:val="20"/>
          <w:szCs w:val="20"/>
        </w:rPr>
        <w:t>•</w:t>
      </w:r>
      <w:r w:rsidRPr="000A6420">
        <w:rPr>
          <w:rFonts w:ascii="Calibri" w:hAnsi="Calibri"/>
          <w:bCs/>
          <w:sz w:val="20"/>
          <w:szCs w:val="20"/>
        </w:rPr>
        <w:tab/>
        <w:t>European Sign Expo 2015, 18-22 Mayo 2015, Koelnmesse, Colonia, Alemania</w:t>
      </w:r>
    </w:p>
    <w:p w14:paraId="56E040C8" w14:textId="77777777" w:rsidR="000A6420" w:rsidRPr="000A6420" w:rsidRDefault="000A6420" w:rsidP="000A6420">
      <w:pPr>
        <w:spacing w:after="0"/>
        <w:jc w:val="both"/>
        <w:rPr>
          <w:rFonts w:ascii="Calibri" w:hAnsi="Calibri"/>
          <w:bCs/>
          <w:sz w:val="20"/>
          <w:szCs w:val="20"/>
        </w:rPr>
      </w:pPr>
      <w:r w:rsidRPr="000A6420">
        <w:rPr>
          <w:rFonts w:ascii="Calibri" w:hAnsi="Calibri"/>
          <w:bCs/>
          <w:sz w:val="20"/>
          <w:szCs w:val="20"/>
        </w:rPr>
        <w:t>•</w:t>
      </w:r>
      <w:r w:rsidRPr="000A6420">
        <w:rPr>
          <w:rFonts w:ascii="Calibri" w:hAnsi="Calibri"/>
          <w:bCs/>
          <w:sz w:val="20"/>
          <w:szCs w:val="20"/>
        </w:rPr>
        <w:tab/>
        <w:t>FESPA Africa, 22-24 Julio 2015, Gallagher Convention Centre, Johannesburg, South Africa</w:t>
      </w:r>
    </w:p>
    <w:p w14:paraId="74222F44" w14:textId="77777777" w:rsidR="000A6420" w:rsidRPr="000A6420" w:rsidRDefault="000A6420" w:rsidP="000A6420">
      <w:pPr>
        <w:spacing w:after="0"/>
        <w:jc w:val="both"/>
        <w:rPr>
          <w:rFonts w:ascii="Calibri" w:hAnsi="Calibri"/>
          <w:bCs/>
          <w:sz w:val="20"/>
          <w:szCs w:val="20"/>
        </w:rPr>
      </w:pPr>
      <w:r w:rsidRPr="000A6420">
        <w:rPr>
          <w:rFonts w:ascii="Calibri" w:hAnsi="Calibri"/>
          <w:bCs/>
          <w:sz w:val="20"/>
          <w:szCs w:val="20"/>
        </w:rPr>
        <w:t>•</w:t>
      </w:r>
      <w:r w:rsidRPr="000A6420">
        <w:rPr>
          <w:rFonts w:ascii="Calibri" w:hAnsi="Calibri"/>
          <w:bCs/>
          <w:sz w:val="20"/>
          <w:szCs w:val="20"/>
        </w:rPr>
        <w:tab/>
        <w:t>FESPA Mexico 2015, 20-22 Agosto 2015, Centro Banamex, Mexico City, Mexico</w:t>
      </w:r>
    </w:p>
    <w:p w14:paraId="5E7C3225" w14:textId="77777777" w:rsidR="000A6420" w:rsidRPr="000A6420" w:rsidRDefault="000A6420" w:rsidP="000A6420">
      <w:pPr>
        <w:spacing w:after="0"/>
        <w:jc w:val="both"/>
        <w:rPr>
          <w:rFonts w:ascii="Calibri" w:hAnsi="Calibri"/>
          <w:bCs/>
          <w:sz w:val="20"/>
          <w:szCs w:val="20"/>
        </w:rPr>
      </w:pPr>
    </w:p>
    <w:p w14:paraId="5D9CABC0" w14:textId="77777777" w:rsidR="000A6420" w:rsidRPr="000A6420" w:rsidRDefault="000A6420" w:rsidP="000A6420">
      <w:pPr>
        <w:spacing w:after="0"/>
        <w:jc w:val="both"/>
        <w:rPr>
          <w:rFonts w:ascii="Calibri" w:hAnsi="Calibri"/>
          <w:bCs/>
          <w:sz w:val="20"/>
          <w:szCs w:val="20"/>
        </w:rPr>
      </w:pPr>
    </w:p>
    <w:p w14:paraId="5E75DDAF" w14:textId="77777777" w:rsidR="000A6420" w:rsidRPr="000A6420" w:rsidRDefault="000A6420" w:rsidP="000A6420">
      <w:pPr>
        <w:spacing w:after="0"/>
        <w:jc w:val="both"/>
        <w:rPr>
          <w:rFonts w:ascii="Calibri" w:hAnsi="Calibri"/>
          <w:b/>
          <w:bCs/>
          <w:sz w:val="20"/>
          <w:szCs w:val="20"/>
        </w:rPr>
      </w:pPr>
      <w:r w:rsidRPr="000A6420">
        <w:rPr>
          <w:rFonts w:ascii="Calibri" w:hAnsi="Calibri"/>
          <w:b/>
          <w:bCs/>
          <w:sz w:val="20"/>
          <w:szCs w:val="20"/>
        </w:rPr>
        <w:t>Publicado en nombre de FESPA por AD Communications</w:t>
      </w:r>
    </w:p>
    <w:p w14:paraId="6AC662DB" w14:textId="77777777" w:rsidR="000A6420" w:rsidRPr="000A6420" w:rsidRDefault="000A6420" w:rsidP="000A6420">
      <w:pPr>
        <w:spacing w:after="0"/>
        <w:jc w:val="both"/>
        <w:rPr>
          <w:rFonts w:ascii="Calibri" w:hAnsi="Calibri"/>
          <w:b/>
          <w:bCs/>
          <w:sz w:val="20"/>
          <w:szCs w:val="20"/>
        </w:rPr>
      </w:pPr>
    </w:p>
    <w:p w14:paraId="78BB753F" w14:textId="57CB550E" w:rsidR="000A6420" w:rsidRPr="000A6420" w:rsidRDefault="000A6420" w:rsidP="000A6420">
      <w:pPr>
        <w:spacing w:after="0"/>
        <w:jc w:val="both"/>
        <w:rPr>
          <w:rFonts w:ascii="Calibri" w:hAnsi="Calibri"/>
          <w:b/>
          <w:bCs/>
          <w:sz w:val="20"/>
          <w:szCs w:val="20"/>
        </w:rPr>
      </w:pPr>
      <w:r w:rsidRPr="000A6420">
        <w:rPr>
          <w:rFonts w:ascii="Calibri" w:hAnsi="Calibri"/>
          <w:b/>
          <w:bCs/>
          <w:sz w:val="20"/>
          <w:szCs w:val="20"/>
        </w:rPr>
        <w:t>Si desea más información, póngase en contacto con:</w:t>
      </w:r>
    </w:p>
    <w:p w14:paraId="58EE90E4" w14:textId="77777777" w:rsidR="00F87898" w:rsidRPr="00C103E7" w:rsidRDefault="00F87898" w:rsidP="00F87898">
      <w:pPr>
        <w:spacing w:after="0"/>
        <w:jc w:val="both"/>
        <w:rPr>
          <w:rFonts w:ascii="Calibri" w:hAnsi="Calibri"/>
          <w:sz w:val="20"/>
          <w:szCs w:val="20"/>
        </w:rPr>
      </w:pPr>
    </w:p>
    <w:p w14:paraId="58EE90E5" w14:textId="77777777" w:rsidR="00F87898" w:rsidRPr="00C103E7" w:rsidRDefault="00F87898" w:rsidP="00F87898">
      <w:pPr>
        <w:spacing w:after="0"/>
        <w:jc w:val="both"/>
        <w:rPr>
          <w:rFonts w:ascii="Calibri" w:hAnsi="Calibri"/>
          <w:sz w:val="20"/>
          <w:szCs w:val="20"/>
        </w:rPr>
      </w:pPr>
      <w:r>
        <w:rPr>
          <w:rFonts w:ascii="Calibri" w:hAnsi="Calibri"/>
          <w:sz w:val="20"/>
          <w:szCs w:val="20"/>
        </w:rPr>
        <w:t>Shireen Shurmer, Ellie Bunce</w:t>
      </w:r>
      <w:r w:rsidRPr="00C103E7">
        <w:rPr>
          <w:rFonts w:ascii="Calibri" w:hAnsi="Calibri"/>
          <w:sz w:val="20"/>
          <w:szCs w:val="20"/>
        </w:rPr>
        <w:tab/>
      </w:r>
      <w:r w:rsidRPr="00C103E7">
        <w:rPr>
          <w:rFonts w:ascii="Calibri" w:hAnsi="Calibri"/>
          <w:sz w:val="20"/>
          <w:szCs w:val="20"/>
        </w:rPr>
        <w:tab/>
      </w:r>
      <w:r>
        <w:rPr>
          <w:rFonts w:ascii="Calibri" w:hAnsi="Calibri"/>
          <w:sz w:val="20"/>
          <w:szCs w:val="20"/>
          <w:lang w:val="de-DE"/>
        </w:rPr>
        <w:t>Sean Holt</w:t>
      </w:r>
    </w:p>
    <w:p w14:paraId="58EE90E6" w14:textId="77777777" w:rsidR="00F87898" w:rsidRPr="00C103E7" w:rsidRDefault="00F87898" w:rsidP="00F87898">
      <w:pPr>
        <w:spacing w:after="0"/>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58EE90E7" w14:textId="39622F50" w:rsidR="00F87898" w:rsidRPr="00C103E7" w:rsidRDefault="00F87898" w:rsidP="00F87898">
      <w:pPr>
        <w:spacing w:after="0"/>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 xml:space="preserve">Tel: +44 (0) 1737 </w:t>
      </w:r>
      <w:r w:rsidR="006565AD">
        <w:rPr>
          <w:rFonts w:ascii="Calibri" w:hAnsi="Calibri"/>
          <w:sz w:val="20"/>
          <w:szCs w:val="20"/>
        </w:rPr>
        <w:t>240788</w:t>
      </w:r>
    </w:p>
    <w:p w14:paraId="58EE90E8" w14:textId="77777777" w:rsidR="00F87898" w:rsidRDefault="00F87898" w:rsidP="00F87898">
      <w:pPr>
        <w:spacing w:after="0"/>
        <w:jc w:val="both"/>
        <w:rPr>
          <w:rFonts w:ascii="Calibri" w:hAnsi="Calibri"/>
          <w:sz w:val="20"/>
          <w:szCs w:val="20"/>
        </w:rPr>
      </w:pPr>
      <w:r w:rsidRPr="00C103E7">
        <w:rPr>
          <w:rFonts w:ascii="Calibri" w:hAnsi="Calibri"/>
          <w:sz w:val="20"/>
          <w:szCs w:val="20"/>
        </w:rPr>
        <w:t xml:space="preserve">Email: </w:t>
      </w:r>
      <w:hyperlink r:id="rId10" w:history="1">
        <w:r w:rsidRPr="00FC6954">
          <w:rPr>
            <w:rStyle w:val="Hyperlink"/>
            <w:rFonts w:ascii="Calibri" w:hAnsi="Calibri"/>
            <w:sz w:val="20"/>
            <w:szCs w:val="20"/>
          </w:rPr>
          <w:t>sshurmer@adcomms.co.uk</w:t>
        </w:r>
      </w:hyperlink>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1" w:history="1">
        <w:r w:rsidRPr="00B4174E">
          <w:rPr>
            <w:rStyle w:val="Hyperlink"/>
            <w:rFonts w:ascii="Calibri" w:hAnsi="Calibri"/>
            <w:sz w:val="20"/>
            <w:szCs w:val="20"/>
          </w:rPr>
          <w:t>sean.holt@fespa.com</w:t>
        </w:r>
      </w:hyperlink>
      <w:r>
        <w:rPr>
          <w:rFonts w:ascii="Calibri" w:hAnsi="Calibri"/>
          <w:sz w:val="20"/>
          <w:szCs w:val="20"/>
        </w:rPr>
        <w:t xml:space="preserve"> </w:t>
      </w:r>
      <w:hyperlink r:id="rId12" w:history="1"/>
    </w:p>
    <w:p w14:paraId="58EE90E9" w14:textId="77777777" w:rsidR="00F87898" w:rsidRPr="00C103E7" w:rsidRDefault="00F87898" w:rsidP="00F87898">
      <w:pPr>
        <w:spacing w:after="0"/>
        <w:jc w:val="both"/>
        <w:rPr>
          <w:rFonts w:ascii="Calibri" w:hAnsi="Calibri"/>
          <w:sz w:val="20"/>
          <w:szCs w:val="20"/>
        </w:rPr>
      </w:pPr>
      <w:r>
        <w:rPr>
          <w:rFonts w:ascii="Calibri" w:hAnsi="Calibri"/>
          <w:sz w:val="20"/>
          <w:szCs w:val="20"/>
        </w:rPr>
        <w:t xml:space="preserve">Email: </w:t>
      </w:r>
      <w:hyperlink r:id="rId13" w:history="1">
        <w:r w:rsidRPr="00FC6954">
          <w:rPr>
            <w:rStyle w:val="Hyperlink"/>
            <w:rFonts w:ascii="Calibri" w:hAnsi="Calibri"/>
            <w:sz w:val="20"/>
            <w:szCs w:val="20"/>
          </w:rPr>
          <w:t>ebunce@adcomms.co.uk</w:t>
        </w:r>
      </w:hyperlink>
      <w:r>
        <w:rPr>
          <w:rFonts w:ascii="Calibri" w:hAnsi="Calibri"/>
          <w:sz w:val="20"/>
          <w:szCs w:val="20"/>
        </w:rPr>
        <w:tab/>
      </w:r>
      <w:r w:rsidRPr="00C103E7">
        <w:rPr>
          <w:rFonts w:ascii="Calibri" w:hAnsi="Calibri"/>
          <w:sz w:val="20"/>
          <w:szCs w:val="20"/>
        </w:rPr>
        <w:tab/>
        <w:t xml:space="preserve">Website: </w:t>
      </w:r>
      <w:hyperlink r:id="rId14"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58EE90EA" w14:textId="77777777" w:rsidR="00F87898" w:rsidRPr="00C103E7" w:rsidRDefault="00F87898" w:rsidP="00F87898">
      <w:pPr>
        <w:spacing w:after="0"/>
        <w:jc w:val="both"/>
        <w:rPr>
          <w:rFonts w:ascii="Calibri" w:hAnsi="Calibri"/>
          <w:sz w:val="20"/>
          <w:szCs w:val="20"/>
        </w:rPr>
      </w:pPr>
      <w:r w:rsidRPr="00C103E7">
        <w:rPr>
          <w:rFonts w:ascii="Calibri" w:hAnsi="Calibri"/>
          <w:sz w:val="20"/>
          <w:szCs w:val="20"/>
        </w:rPr>
        <w:t xml:space="preserve">Website: </w:t>
      </w:r>
      <w:hyperlink r:id="rId15" w:history="1">
        <w:r w:rsidRPr="00C103E7">
          <w:rPr>
            <w:rStyle w:val="Hyperlink"/>
            <w:rFonts w:ascii="Calibri" w:hAnsi="Calibri"/>
            <w:sz w:val="20"/>
            <w:szCs w:val="20"/>
          </w:rPr>
          <w:t>www.adcomms.co.uk</w:t>
        </w:r>
      </w:hyperlink>
      <w:r w:rsidRPr="00C103E7">
        <w:rPr>
          <w:rFonts w:ascii="Calibri" w:hAnsi="Calibri"/>
          <w:sz w:val="20"/>
          <w:szCs w:val="20"/>
        </w:rPr>
        <w:tab/>
      </w:r>
      <w:r w:rsidRPr="00C103E7">
        <w:rPr>
          <w:rFonts w:ascii="Calibri" w:hAnsi="Calibri"/>
          <w:sz w:val="20"/>
          <w:szCs w:val="20"/>
        </w:rPr>
        <w:tab/>
      </w:r>
    </w:p>
    <w:p w14:paraId="58EE90EB" w14:textId="77777777" w:rsidR="00F87898" w:rsidRDefault="00F87898" w:rsidP="00F87898">
      <w:pPr>
        <w:spacing w:line="360" w:lineRule="auto"/>
      </w:pPr>
    </w:p>
    <w:p w14:paraId="58EE90EC" w14:textId="77777777" w:rsidR="00F87898" w:rsidRDefault="00F87898" w:rsidP="00EC62CA">
      <w:pPr>
        <w:spacing w:line="360" w:lineRule="auto"/>
        <w:jc w:val="center"/>
      </w:pPr>
    </w:p>
    <w:sectPr w:rsidR="00F87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A8B66A3"/>
    <w:multiLevelType w:val="hybridMultilevel"/>
    <w:tmpl w:val="6A56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F4"/>
    <w:rsid w:val="0004657D"/>
    <w:rsid w:val="00060926"/>
    <w:rsid w:val="00075EBE"/>
    <w:rsid w:val="00092141"/>
    <w:rsid w:val="000A6420"/>
    <w:rsid w:val="000C1EFB"/>
    <w:rsid w:val="000E3166"/>
    <w:rsid w:val="00102C9E"/>
    <w:rsid w:val="0010441E"/>
    <w:rsid w:val="00133857"/>
    <w:rsid w:val="001666A9"/>
    <w:rsid w:val="001D6821"/>
    <w:rsid w:val="002A1B04"/>
    <w:rsid w:val="002B3FDE"/>
    <w:rsid w:val="002C64E2"/>
    <w:rsid w:val="002D4478"/>
    <w:rsid w:val="002E402D"/>
    <w:rsid w:val="00310532"/>
    <w:rsid w:val="0038666E"/>
    <w:rsid w:val="00395D8A"/>
    <w:rsid w:val="00411720"/>
    <w:rsid w:val="0046435E"/>
    <w:rsid w:val="004E0764"/>
    <w:rsid w:val="0050074F"/>
    <w:rsid w:val="00532E70"/>
    <w:rsid w:val="005611DD"/>
    <w:rsid w:val="00566051"/>
    <w:rsid w:val="00643C09"/>
    <w:rsid w:val="006565AD"/>
    <w:rsid w:val="00687B7C"/>
    <w:rsid w:val="006E1724"/>
    <w:rsid w:val="00714A5B"/>
    <w:rsid w:val="007300BD"/>
    <w:rsid w:val="00750FD8"/>
    <w:rsid w:val="007957C3"/>
    <w:rsid w:val="007F5574"/>
    <w:rsid w:val="00800635"/>
    <w:rsid w:val="00886284"/>
    <w:rsid w:val="008C53C7"/>
    <w:rsid w:val="00972A72"/>
    <w:rsid w:val="009825E7"/>
    <w:rsid w:val="009B01B5"/>
    <w:rsid w:val="009D7FE4"/>
    <w:rsid w:val="009F2C45"/>
    <w:rsid w:val="00A37F54"/>
    <w:rsid w:val="00A75F9D"/>
    <w:rsid w:val="00AD0C26"/>
    <w:rsid w:val="00AD2DA9"/>
    <w:rsid w:val="00B5161F"/>
    <w:rsid w:val="00B64DBF"/>
    <w:rsid w:val="00BA08B1"/>
    <w:rsid w:val="00BB43A7"/>
    <w:rsid w:val="00BD63CD"/>
    <w:rsid w:val="00BF1E6D"/>
    <w:rsid w:val="00D05411"/>
    <w:rsid w:val="00D604F4"/>
    <w:rsid w:val="00D65EF7"/>
    <w:rsid w:val="00DB2CED"/>
    <w:rsid w:val="00DF4000"/>
    <w:rsid w:val="00E0181A"/>
    <w:rsid w:val="00E51A94"/>
    <w:rsid w:val="00E92EA2"/>
    <w:rsid w:val="00EC62CA"/>
    <w:rsid w:val="00F168FB"/>
    <w:rsid w:val="00F60110"/>
    <w:rsid w:val="00F87898"/>
    <w:rsid w:val="00FB185B"/>
    <w:rsid w:val="00FF0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90B4"/>
  <w15:docId w15:val="{C14B4239-4D47-4AAC-96B7-5ADE30E7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5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A1B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62CA"/>
    <w:rPr>
      <w:color w:val="0000FF"/>
      <w:u w:val="single"/>
    </w:rPr>
  </w:style>
  <w:style w:type="paragraph" w:styleId="ListParagraph">
    <w:name w:val="List Paragraph"/>
    <w:basedOn w:val="Normal"/>
    <w:uiPriority w:val="34"/>
    <w:qFormat/>
    <w:rsid w:val="00BD63CD"/>
    <w:pPr>
      <w:ind w:left="720"/>
      <w:contextualSpacing/>
    </w:pPr>
  </w:style>
  <w:style w:type="character" w:customStyle="1" w:styleId="Heading3Char">
    <w:name w:val="Heading 3 Char"/>
    <w:basedOn w:val="DefaultParagraphFont"/>
    <w:link w:val="Heading3"/>
    <w:uiPriority w:val="9"/>
    <w:rsid w:val="002A1B0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D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821"/>
    <w:rPr>
      <w:rFonts w:ascii="Segoe UI" w:hAnsi="Segoe UI" w:cs="Segoe UI"/>
      <w:sz w:val="18"/>
      <w:szCs w:val="18"/>
    </w:rPr>
  </w:style>
  <w:style w:type="character" w:customStyle="1" w:styleId="Heading1Char">
    <w:name w:val="Heading 1 Char"/>
    <w:basedOn w:val="DefaultParagraphFont"/>
    <w:link w:val="Heading1"/>
    <w:uiPriority w:val="9"/>
    <w:rsid w:val="003105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6821">
      <w:bodyDiv w:val="1"/>
      <w:marLeft w:val="0"/>
      <w:marRight w:val="0"/>
      <w:marTop w:val="0"/>
      <w:marBottom w:val="0"/>
      <w:divBdr>
        <w:top w:val="none" w:sz="0" w:space="0" w:color="auto"/>
        <w:left w:val="none" w:sz="0" w:space="0" w:color="auto"/>
        <w:bottom w:val="none" w:sz="0" w:space="0" w:color="auto"/>
        <w:right w:val="none" w:sz="0" w:space="0" w:color="auto"/>
      </w:divBdr>
    </w:div>
    <w:div w:id="78989134">
      <w:bodyDiv w:val="1"/>
      <w:marLeft w:val="0"/>
      <w:marRight w:val="0"/>
      <w:marTop w:val="0"/>
      <w:marBottom w:val="0"/>
      <w:divBdr>
        <w:top w:val="none" w:sz="0" w:space="0" w:color="auto"/>
        <w:left w:val="none" w:sz="0" w:space="0" w:color="auto"/>
        <w:bottom w:val="none" w:sz="0" w:space="0" w:color="auto"/>
        <w:right w:val="none" w:sz="0" w:space="0" w:color="auto"/>
      </w:divBdr>
    </w:div>
    <w:div w:id="816265849">
      <w:bodyDiv w:val="1"/>
      <w:marLeft w:val="0"/>
      <w:marRight w:val="0"/>
      <w:marTop w:val="0"/>
      <w:marBottom w:val="0"/>
      <w:divBdr>
        <w:top w:val="none" w:sz="0" w:space="0" w:color="auto"/>
        <w:left w:val="none" w:sz="0" w:space="0" w:color="auto"/>
        <w:bottom w:val="none" w:sz="0" w:space="0" w:color="auto"/>
        <w:right w:val="none" w:sz="0" w:space="0" w:color="auto"/>
      </w:divBdr>
    </w:div>
    <w:div w:id="1043869464">
      <w:bodyDiv w:val="1"/>
      <w:marLeft w:val="0"/>
      <w:marRight w:val="0"/>
      <w:marTop w:val="0"/>
      <w:marBottom w:val="0"/>
      <w:divBdr>
        <w:top w:val="none" w:sz="0" w:space="0" w:color="auto"/>
        <w:left w:val="none" w:sz="0" w:space="0" w:color="auto"/>
        <w:bottom w:val="none" w:sz="0" w:space="0" w:color="auto"/>
        <w:right w:val="none" w:sz="0" w:space="0" w:color="auto"/>
      </w:divBdr>
    </w:div>
    <w:div w:id="1048723481">
      <w:bodyDiv w:val="1"/>
      <w:marLeft w:val="0"/>
      <w:marRight w:val="0"/>
      <w:marTop w:val="0"/>
      <w:marBottom w:val="0"/>
      <w:divBdr>
        <w:top w:val="none" w:sz="0" w:space="0" w:color="auto"/>
        <w:left w:val="none" w:sz="0" w:space="0" w:color="auto"/>
        <w:bottom w:val="none" w:sz="0" w:space="0" w:color="auto"/>
        <w:right w:val="none" w:sz="0" w:space="0" w:color="auto"/>
      </w:divBdr>
    </w:div>
    <w:div w:id="13334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bunce@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ynda.sutton@fesp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an.holt@fespa.com"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hyperlink" Target="mailto:sshurmer@adcomms.co.uk" TargetMode="External"/><Relationship Id="rId4" Type="http://schemas.openxmlformats.org/officeDocument/2006/relationships/numbering" Target="numbering.xml"/><Relationship Id="rId9" Type="http://schemas.openxmlformats.org/officeDocument/2006/relationships/hyperlink" Target="http://www.fespa.com"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078C2-2B8B-4CFF-A80D-697FEC712DF4}">
  <ds:schemaRefs>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E9A2BCB-09FF-4E6D-908D-9004044CD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A71E7D-23CC-4A7D-A0DC-BD90AE70A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811</Words>
  <Characters>4626</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Elinor Bunce</cp:lastModifiedBy>
  <cp:revision>8</cp:revision>
  <cp:lastPrinted>2014-09-19T15:31:00Z</cp:lastPrinted>
  <dcterms:created xsi:type="dcterms:W3CDTF">2014-09-24T15:20:00Z</dcterms:created>
  <dcterms:modified xsi:type="dcterms:W3CDTF">2014-10-01T09:23:00Z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0x01010058D6D1A5D661784EB36EC9A2066EF388</vt:lpwstr>
  </property>
</Properties>
</file>