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:rsidTr="00EF4DD4">
        <w:trPr>
          <w:trHeight w:val="320"/>
        </w:trPr>
        <w:tc>
          <w:tcPr>
            <w:tcW w:w="8590" w:type="dxa"/>
          </w:tcPr>
          <w:p w:rsidR="007609DE" w:rsidRPr="007609DE" w:rsidRDefault="007609DE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PageNumber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</w:p>
        </w:tc>
      </w:tr>
    </w:tbl>
    <w:p w:rsidR="007609DE" w:rsidRDefault="007609DE" w:rsidP="004F737F">
      <w:pPr>
        <w:ind w:left="0"/>
        <w:rPr>
          <w:rFonts w:ascii="Arial" w:hAnsi="Arial" w:cs="Arial"/>
          <w:b/>
          <w:sz w:val="28"/>
        </w:rPr>
      </w:pPr>
    </w:p>
    <w:p w:rsidR="00990FEA" w:rsidRPr="00990FEA" w:rsidRDefault="00AD3093" w:rsidP="00AD3093">
      <w:pPr>
        <w:tabs>
          <w:tab w:val="left" w:pos="5490"/>
        </w:tabs>
        <w:spacing w:after="120"/>
        <w:ind w:left="1411"/>
        <w:rPr>
          <w:rFonts w:ascii="Arial" w:hAnsi="Arial"/>
          <w:b/>
        </w:rPr>
      </w:pPr>
      <w:r w:rsidRPr="00577BDF">
        <w:rPr>
          <w:rFonts w:ascii="Arial" w:hAnsi="Arial"/>
          <w:b/>
          <w:color w:val="000000"/>
          <w:sz w:val="28"/>
        </w:rPr>
        <w:t xml:space="preserve">GMG </w:t>
      </w:r>
      <w:r w:rsidR="00F50E65">
        <w:rPr>
          <w:rFonts w:ascii="Arial" w:hAnsi="Arial"/>
          <w:b/>
          <w:color w:val="000000"/>
          <w:sz w:val="28"/>
        </w:rPr>
        <w:t xml:space="preserve">OpenColor </w:t>
      </w:r>
      <w:r w:rsidR="00D20BF3">
        <w:rPr>
          <w:rFonts w:ascii="Arial" w:hAnsi="Arial"/>
          <w:b/>
          <w:color w:val="000000"/>
          <w:sz w:val="28"/>
        </w:rPr>
        <w:t xml:space="preserve">2.2 </w:t>
      </w:r>
      <w:r w:rsidR="00F50E65">
        <w:rPr>
          <w:rFonts w:ascii="Arial" w:hAnsi="Arial"/>
          <w:b/>
          <w:color w:val="000000"/>
          <w:sz w:val="28"/>
        </w:rPr>
        <w:t>bietet integrierte Messdatenoptimierung</w:t>
      </w:r>
      <w:r>
        <w:rPr>
          <w:rFonts w:ascii="Arial" w:hAnsi="Arial"/>
          <w:b/>
          <w:color w:val="000000"/>
          <w:sz w:val="28"/>
        </w:rPr>
        <w:t xml:space="preserve"> </w:t>
      </w:r>
    </w:p>
    <w:p w:rsidR="00E01620" w:rsidRPr="00D20BF3" w:rsidRDefault="00AD3093" w:rsidP="000A56E0">
      <w:pPr>
        <w:tabs>
          <w:tab w:val="left" w:pos="5490"/>
        </w:tabs>
        <w:spacing w:after="120"/>
        <w:ind w:left="1411"/>
        <w:jc w:val="left"/>
        <w:rPr>
          <w:rFonts w:ascii="Arial" w:hAnsi="Arial"/>
          <w:b/>
          <w:sz w:val="22"/>
          <w:szCs w:val="22"/>
        </w:rPr>
      </w:pPr>
      <w:r w:rsidRPr="00D20BF3">
        <w:rPr>
          <w:rFonts w:ascii="Arial" w:hAnsi="Arial"/>
          <w:b/>
          <w:sz w:val="22"/>
          <w:szCs w:val="22"/>
        </w:rPr>
        <w:t xml:space="preserve">GMG </w:t>
      </w:r>
      <w:r w:rsidR="000A56E0" w:rsidRPr="00D20BF3">
        <w:rPr>
          <w:rFonts w:ascii="Arial" w:hAnsi="Arial"/>
          <w:b/>
          <w:sz w:val="22"/>
          <w:szCs w:val="22"/>
        </w:rPr>
        <w:t>hat</w:t>
      </w:r>
      <w:r w:rsidRPr="00D20BF3">
        <w:rPr>
          <w:rFonts w:ascii="Arial" w:hAnsi="Arial"/>
          <w:b/>
          <w:sz w:val="22"/>
          <w:szCs w:val="22"/>
        </w:rPr>
        <w:t xml:space="preserve"> </w:t>
      </w:r>
      <w:r w:rsidR="000A56E0" w:rsidRPr="00D20BF3">
        <w:rPr>
          <w:rFonts w:ascii="Arial" w:hAnsi="Arial"/>
          <w:b/>
          <w:sz w:val="22"/>
          <w:szCs w:val="22"/>
        </w:rPr>
        <w:t xml:space="preserve">seinen Profilierungslösung </w:t>
      </w:r>
      <w:r w:rsidRPr="00D20BF3">
        <w:rPr>
          <w:rFonts w:ascii="Arial" w:hAnsi="Arial"/>
          <w:b/>
          <w:sz w:val="22"/>
          <w:szCs w:val="22"/>
        </w:rPr>
        <w:t>GMG OpenColor u</w:t>
      </w:r>
      <w:r w:rsidR="000A56E0" w:rsidRPr="00D20BF3">
        <w:rPr>
          <w:rFonts w:ascii="Arial" w:hAnsi="Arial"/>
          <w:b/>
          <w:sz w:val="22"/>
          <w:szCs w:val="22"/>
        </w:rPr>
        <w:t xml:space="preserve">m eine Messdatenoptimierung auf Basis spektraler </w:t>
      </w:r>
      <w:r w:rsidR="00C1096D">
        <w:rPr>
          <w:rFonts w:ascii="Arial" w:hAnsi="Arial"/>
          <w:b/>
          <w:sz w:val="22"/>
          <w:szCs w:val="22"/>
        </w:rPr>
        <w:t>Berechnungen</w:t>
      </w:r>
      <w:r w:rsidR="000A56E0" w:rsidRPr="00D20BF3">
        <w:rPr>
          <w:rFonts w:ascii="Arial" w:hAnsi="Arial"/>
          <w:b/>
          <w:sz w:val="22"/>
          <w:szCs w:val="22"/>
        </w:rPr>
        <w:t xml:space="preserve"> erweitert. Damit wird die Profilerstellung für den Verpackungsdruck noch </w:t>
      </w:r>
      <w:r w:rsidR="005E5E4E" w:rsidRPr="00D20BF3">
        <w:rPr>
          <w:rFonts w:ascii="Arial" w:hAnsi="Arial"/>
          <w:b/>
          <w:sz w:val="22"/>
          <w:szCs w:val="22"/>
        </w:rPr>
        <w:t xml:space="preserve">einfacher und </w:t>
      </w:r>
      <w:r w:rsidR="000A56E0" w:rsidRPr="00D20BF3">
        <w:rPr>
          <w:rFonts w:ascii="Arial" w:hAnsi="Arial"/>
          <w:b/>
          <w:sz w:val="22"/>
          <w:szCs w:val="22"/>
        </w:rPr>
        <w:t xml:space="preserve">verlässlicher. GMG OpenColor wird somit zur </w:t>
      </w:r>
      <w:r w:rsidR="006E489F" w:rsidRPr="00D20BF3">
        <w:rPr>
          <w:rFonts w:ascii="Arial" w:hAnsi="Arial"/>
          <w:b/>
          <w:sz w:val="22"/>
          <w:szCs w:val="22"/>
        </w:rPr>
        <w:t xml:space="preserve">effizienten </w:t>
      </w:r>
      <w:r w:rsidR="000A56E0" w:rsidRPr="00D20BF3">
        <w:rPr>
          <w:rFonts w:ascii="Arial" w:hAnsi="Arial"/>
          <w:b/>
          <w:sz w:val="22"/>
          <w:szCs w:val="22"/>
        </w:rPr>
        <w:t>All-in-</w:t>
      </w:r>
      <w:r w:rsidR="00B57244">
        <w:rPr>
          <w:rFonts w:ascii="Arial" w:hAnsi="Arial"/>
          <w:b/>
          <w:sz w:val="22"/>
          <w:szCs w:val="22"/>
        </w:rPr>
        <w:t>O</w:t>
      </w:r>
      <w:r w:rsidR="000A56E0" w:rsidRPr="00D20BF3">
        <w:rPr>
          <w:rFonts w:ascii="Arial" w:hAnsi="Arial"/>
          <w:b/>
          <w:sz w:val="22"/>
          <w:szCs w:val="22"/>
        </w:rPr>
        <w:t>ne-Lösung für die farbverbindliche Erstellung von Pro</w:t>
      </w:r>
      <w:r w:rsidR="006E489F" w:rsidRPr="00D20BF3">
        <w:rPr>
          <w:rFonts w:ascii="Arial" w:hAnsi="Arial"/>
          <w:b/>
          <w:sz w:val="22"/>
          <w:szCs w:val="22"/>
        </w:rPr>
        <w:t>filen</w:t>
      </w:r>
      <w:r w:rsidR="000A56E0" w:rsidRPr="00D20BF3">
        <w:rPr>
          <w:rFonts w:ascii="Arial" w:hAnsi="Arial"/>
          <w:b/>
          <w:sz w:val="22"/>
          <w:szCs w:val="22"/>
        </w:rPr>
        <w:t xml:space="preserve"> für Proofing und Separation.</w:t>
      </w:r>
    </w:p>
    <w:p w:rsidR="00990FEA" w:rsidRDefault="00990FEA" w:rsidP="00E01620">
      <w:pPr>
        <w:ind w:left="1411"/>
        <w:rPr>
          <w:rFonts w:ascii="Arial" w:hAnsi="Arial"/>
          <w:b/>
        </w:rPr>
      </w:pPr>
    </w:p>
    <w:p w:rsidR="006E489F" w:rsidRDefault="00E01620" w:rsidP="00AD3093">
      <w:pPr>
        <w:ind w:left="1411"/>
        <w:rPr>
          <w:rFonts w:ascii="Arial" w:hAnsi="Arial"/>
        </w:rPr>
      </w:pPr>
      <w:r w:rsidRPr="00977931">
        <w:rPr>
          <w:rFonts w:ascii="Arial" w:hAnsi="Arial"/>
          <w:b/>
        </w:rPr>
        <w:t>T</w:t>
      </w:r>
      <w:r>
        <w:rPr>
          <w:rFonts w:ascii="Arial" w:hAnsi="Arial"/>
          <w:b/>
        </w:rPr>
        <w:t>ü</w:t>
      </w:r>
      <w:r w:rsidR="00AD3093">
        <w:rPr>
          <w:rFonts w:ascii="Arial" w:hAnsi="Arial"/>
          <w:b/>
        </w:rPr>
        <w:t xml:space="preserve">bingen </w:t>
      </w:r>
      <w:r w:rsidRPr="004001DF">
        <w:rPr>
          <w:rFonts w:ascii="Arial" w:hAnsi="Arial"/>
          <w:b/>
        </w:rPr>
        <w:t>(</w:t>
      </w:r>
      <w:r w:rsidR="008D015F">
        <w:rPr>
          <w:rFonts w:ascii="Arial" w:hAnsi="Arial"/>
          <w:b/>
        </w:rPr>
        <w:t>1</w:t>
      </w:r>
      <w:r w:rsidR="00A676A3">
        <w:rPr>
          <w:rFonts w:ascii="Arial" w:hAnsi="Arial"/>
          <w:b/>
        </w:rPr>
        <w:t>9</w:t>
      </w:r>
      <w:bookmarkStart w:id="0" w:name="_GoBack"/>
      <w:bookmarkEnd w:id="0"/>
      <w:r w:rsidR="00AD3093">
        <w:rPr>
          <w:rFonts w:ascii="Arial" w:hAnsi="Arial"/>
          <w:b/>
        </w:rPr>
        <w:t xml:space="preserve">. </w:t>
      </w:r>
      <w:r w:rsidR="00F55425">
        <w:rPr>
          <w:rFonts w:ascii="Arial" w:hAnsi="Arial"/>
          <w:b/>
        </w:rPr>
        <w:t>Oktober</w:t>
      </w:r>
      <w:r w:rsidRPr="004001DF">
        <w:rPr>
          <w:rFonts w:ascii="Arial" w:hAnsi="Arial"/>
          <w:b/>
        </w:rPr>
        <w:t xml:space="preserve"> </w:t>
      </w:r>
      <w:r w:rsidR="00414269">
        <w:rPr>
          <w:rFonts w:ascii="Arial" w:hAnsi="Arial"/>
          <w:b/>
        </w:rPr>
        <w:t>2018</w:t>
      </w:r>
      <w:r w:rsidRPr="004001DF">
        <w:rPr>
          <w:rFonts w:ascii="Arial" w:hAnsi="Arial"/>
          <w:b/>
        </w:rPr>
        <w:t>)</w:t>
      </w:r>
      <w:r w:rsidRPr="00977931">
        <w:rPr>
          <w:rFonts w:ascii="Arial" w:hAnsi="Arial"/>
        </w:rPr>
        <w:t xml:space="preserve"> – </w:t>
      </w:r>
      <w:r w:rsidR="00D626A4">
        <w:rPr>
          <w:rFonts w:ascii="Arial" w:hAnsi="Arial"/>
        </w:rPr>
        <w:t xml:space="preserve">Farbmanagement-Experte </w:t>
      </w:r>
      <w:r w:rsidR="00AD3093" w:rsidRPr="00577BDF">
        <w:rPr>
          <w:rFonts w:ascii="Arial" w:hAnsi="Arial"/>
        </w:rPr>
        <w:t>GMG</w:t>
      </w:r>
      <w:r w:rsidR="00D626A4">
        <w:rPr>
          <w:rFonts w:ascii="Arial" w:hAnsi="Arial"/>
        </w:rPr>
        <w:t xml:space="preserve"> </w:t>
      </w:r>
      <w:r w:rsidR="00C1096D">
        <w:rPr>
          <w:rFonts w:ascii="Arial" w:hAnsi="Arial"/>
        </w:rPr>
        <w:t>präsentiert</w:t>
      </w:r>
      <w:r w:rsidR="00AD3093">
        <w:rPr>
          <w:rFonts w:ascii="Arial" w:hAnsi="Arial"/>
        </w:rPr>
        <w:t xml:space="preserve"> ein Up</w:t>
      </w:r>
      <w:r w:rsidR="00D626A4">
        <w:rPr>
          <w:rFonts w:ascii="Arial" w:hAnsi="Arial"/>
        </w:rPr>
        <w:t>grad</w:t>
      </w:r>
      <w:r w:rsidR="00AD3093">
        <w:rPr>
          <w:rFonts w:ascii="Arial" w:hAnsi="Arial"/>
        </w:rPr>
        <w:t>e seiner</w:t>
      </w:r>
      <w:r w:rsidR="00AD3093" w:rsidRPr="00577BDF">
        <w:rPr>
          <w:rFonts w:ascii="Arial" w:hAnsi="Arial"/>
        </w:rPr>
        <w:t xml:space="preserve"> </w:t>
      </w:r>
      <w:r w:rsidR="004E5C96">
        <w:rPr>
          <w:rFonts w:ascii="Arial" w:hAnsi="Arial"/>
        </w:rPr>
        <w:t>Profilierungslösung</w:t>
      </w:r>
      <w:r w:rsidR="00AD3093" w:rsidRPr="00577BDF">
        <w:rPr>
          <w:rFonts w:ascii="Arial" w:hAnsi="Arial"/>
        </w:rPr>
        <w:t xml:space="preserve"> GMG OpenColor.</w:t>
      </w:r>
      <w:r w:rsidR="00AD3093">
        <w:rPr>
          <w:rFonts w:ascii="Arial" w:hAnsi="Arial"/>
        </w:rPr>
        <w:t xml:space="preserve"> </w:t>
      </w:r>
      <w:r w:rsidR="006E489F">
        <w:rPr>
          <w:rFonts w:ascii="Arial" w:hAnsi="Arial"/>
        </w:rPr>
        <w:t xml:space="preserve">In Version 2.2 hat die </w:t>
      </w:r>
      <w:r w:rsidR="006E489F" w:rsidRPr="00577BDF">
        <w:rPr>
          <w:rFonts w:ascii="Arial" w:hAnsi="Arial"/>
        </w:rPr>
        <w:t>mehrfach ausgezeichnete</w:t>
      </w:r>
      <w:r w:rsidR="006E489F">
        <w:rPr>
          <w:rFonts w:ascii="Arial" w:hAnsi="Arial"/>
        </w:rPr>
        <w:t xml:space="preserve"> </w:t>
      </w:r>
      <w:r w:rsidR="004E5C96">
        <w:rPr>
          <w:rFonts w:ascii="Arial" w:hAnsi="Arial"/>
        </w:rPr>
        <w:t xml:space="preserve">Software </w:t>
      </w:r>
      <w:r w:rsidR="006E489F">
        <w:rPr>
          <w:rFonts w:ascii="Arial" w:hAnsi="Arial"/>
        </w:rPr>
        <w:t xml:space="preserve">eine automatische Messdaten-Optimierung </w:t>
      </w:r>
      <w:r w:rsidR="00BB7636">
        <w:rPr>
          <w:rFonts w:ascii="Arial" w:hAnsi="Arial"/>
        </w:rPr>
        <w:t xml:space="preserve">auf Spektraldaten-Basis </w:t>
      </w:r>
      <w:r w:rsidR="006E489F">
        <w:rPr>
          <w:rFonts w:ascii="Arial" w:hAnsi="Arial"/>
        </w:rPr>
        <w:t>an Bord</w:t>
      </w:r>
      <w:r w:rsidR="00BB7636">
        <w:rPr>
          <w:rFonts w:ascii="Arial" w:hAnsi="Arial"/>
        </w:rPr>
        <w:t>.</w:t>
      </w:r>
      <w:r w:rsidR="006E489F">
        <w:rPr>
          <w:rFonts w:ascii="Arial" w:hAnsi="Arial"/>
        </w:rPr>
        <w:t xml:space="preserve"> </w:t>
      </w:r>
    </w:p>
    <w:p w:rsidR="006E489F" w:rsidRDefault="006E489F" w:rsidP="006E489F">
      <w:pPr>
        <w:ind w:left="1411"/>
        <w:rPr>
          <w:rFonts w:ascii="Arial" w:hAnsi="Arial"/>
          <w:sz w:val="22"/>
        </w:rPr>
      </w:pPr>
    </w:p>
    <w:p w:rsidR="006E489F" w:rsidRPr="00413A06" w:rsidRDefault="00DE3F0E" w:rsidP="006E489F">
      <w:pPr>
        <w:ind w:left="1411"/>
        <w:rPr>
          <w:rFonts w:ascii="Arial" w:hAnsi="Arial"/>
          <w:b/>
        </w:rPr>
      </w:pPr>
      <w:r>
        <w:rPr>
          <w:rFonts w:ascii="Arial" w:hAnsi="Arial"/>
          <w:b/>
        </w:rPr>
        <w:t>Mit optimierten Messdaten zu</w:t>
      </w:r>
      <w:r w:rsidR="006E489F">
        <w:rPr>
          <w:rFonts w:ascii="Arial" w:hAnsi="Arial"/>
          <w:b/>
        </w:rPr>
        <w:t xml:space="preserve"> farbverbindliche</w:t>
      </w:r>
      <w:r>
        <w:rPr>
          <w:rFonts w:ascii="Arial" w:hAnsi="Arial"/>
          <w:b/>
        </w:rPr>
        <w:t>n</w:t>
      </w:r>
      <w:r w:rsidR="006E489F">
        <w:rPr>
          <w:rFonts w:ascii="Arial" w:hAnsi="Arial"/>
          <w:b/>
        </w:rPr>
        <w:t xml:space="preserve"> Profil</w:t>
      </w:r>
      <w:r>
        <w:rPr>
          <w:rFonts w:ascii="Arial" w:hAnsi="Arial"/>
          <w:b/>
        </w:rPr>
        <w:t>en</w:t>
      </w:r>
      <w:r w:rsidR="006E489F">
        <w:rPr>
          <w:rFonts w:ascii="Arial" w:hAnsi="Arial"/>
          <w:b/>
        </w:rPr>
        <w:t xml:space="preserve"> </w:t>
      </w:r>
    </w:p>
    <w:p w:rsidR="005E5E4E" w:rsidRDefault="006E489F" w:rsidP="00AD3093">
      <w:pPr>
        <w:ind w:left="1411"/>
        <w:rPr>
          <w:rFonts w:ascii="Arial" w:hAnsi="Arial"/>
        </w:rPr>
      </w:pPr>
      <w:r>
        <w:rPr>
          <w:rFonts w:ascii="Arial" w:hAnsi="Arial"/>
        </w:rPr>
        <w:t xml:space="preserve">GMG OpenColor </w:t>
      </w:r>
      <w:r w:rsidR="005D082A">
        <w:rPr>
          <w:rFonts w:ascii="Arial" w:hAnsi="Arial"/>
        </w:rPr>
        <w:t>erstellt</w:t>
      </w:r>
      <w:r w:rsidR="002C2FDA">
        <w:rPr>
          <w:rFonts w:ascii="Arial" w:hAnsi="Arial"/>
        </w:rPr>
        <w:t xml:space="preserve"> farbverbindliche Proof- und Separationsprofile auf Basis einer</w:t>
      </w:r>
      <w:r>
        <w:rPr>
          <w:rFonts w:ascii="Arial" w:hAnsi="Arial"/>
        </w:rPr>
        <w:t xml:space="preserve"> Charakterisierung der geplanten Druckproduktion. Hierzu </w:t>
      </w:r>
      <w:r w:rsidR="003A6404">
        <w:rPr>
          <w:rFonts w:ascii="Arial" w:hAnsi="Arial"/>
        </w:rPr>
        <w:t>misst der Anwender</w:t>
      </w:r>
      <w:r>
        <w:rPr>
          <w:rFonts w:ascii="Arial" w:hAnsi="Arial"/>
        </w:rPr>
        <w:t xml:space="preserve"> </w:t>
      </w:r>
      <w:r w:rsidR="006744E8">
        <w:rPr>
          <w:rFonts w:ascii="Arial" w:hAnsi="Arial"/>
        </w:rPr>
        <w:t xml:space="preserve">Testcharts oder </w:t>
      </w:r>
      <w:r w:rsidR="00C1096D">
        <w:rPr>
          <w:rFonts w:ascii="Arial" w:hAnsi="Arial"/>
        </w:rPr>
        <w:t>Farbfelder</w:t>
      </w:r>
      <w:r>
        <w:rPr>
          <w:rFonts w:ascii="Arial" w:hAnsi="Arial"/>
        </w:rPr>
        <w:t xml:space="preserve"> ein</w:t>
      </w:r>
      <w:r w:rsidR="003A6404">
        <w:rPr>
          <w:rFonts w:ascii="Arial" w:hAnsi="Arial"/>
        </w:rPr>
        <w:t>,</w:t>
      </w:r>
      <w:r>
        <w:rPr>
          <w:rFonts w:ascii="Arial" w:hAnsi="Arial"/>
        </w:rPr>
        <w:t xml:space="preserve"> um Charakterisierungsdaten zu er</w:t>
      </w:r>
      <w:r w:rsidR="00C1096D">
        <w:rPr>
          <w:rFonts w:ascii="Arial" w:hAnsi="Arial"/>
        </w:rPr>
        <w:t>stell</w:t>
      </w:r>
      <w:r>
        <w:rPr>
          <w:rFonts w:ascii="Arial" w:hAnsi="Arial"/>
        </w:rPr>
        <w:t>en</w:t>
      </w:r>
      <w:r w:rsidR="003A6404">
        <w:rPr>
          <w:rFonts w:ascii="Arial" w:hAnsi="Arial"/>
        </w:rPr>
        <w:t>. Diese werden</w:t>
      </w:r>
      <w:r>
        <w:rPr>
          <w:rFonts w:ascii="Arial" w:hAnsi="Arial"/>
        </w:rPr>
        <w:t xml:space="preserve"> später mit weiteren </w:t>
      </w:r>
      <w:r w:rsidR="003A6404">
        <w:rPr>
          <w:rFonts w:ascii="Arial" w:hAnsi="Arial"/>
        </w:rPr>
        <w:t>P</w:t>
      </w:r>
      <w:r>
        <w:rPr>
          <w:rFonts w:ascii="Arial" w:hAnsi="Arial"/>
        </w:rPr>
        <w:t xml:space="preserve">arametern </w:t>
      </w:r>
      <w:r w:rsidR="003A6404">
        <w:rPr>
          <w:rFonts w:ascii="Arial" w:hAnsi="Arial"/>
        </w:rPr>
        <w:t xml:space="preserve">des Druckprozesses zu einem dynamischen Profil </w:t>
      </w:r>
      <w:r>
        <w:rPr>
          <w:rFonts w:ascii="Arial" w:hAnsi="Arial"/>
        </w:rPr>
        <w:t xml:space="preserve">verrechnet. Die beim Einmessen gewonnen Daten müssen naturgemäß optimiert werden. Zu groß sind die verfälschenden Einflüsse von </w:t>
      </w:r>
      <w:r w:rsidR="005744F2">
        <w:rPr>
          <w:rFonts w:ascii="Arial" w:hAnsi="Arial"/>
        </w:rPr>
        <w:t xml:space="preserve">fehlerhaften Testcharts, </w:t>
      </w:r>
      <w:r w:rsidR="007C1AA0">
        <w:rPr>
          <w:rFonts w:ascii="Arial" w:hAnsi="Arial"/>
        </w:rPr>
        <w:t>schlechte</w:t>
      </w:r>
      <w:r w:rsidR="005B0D16">
        <w:rPr>
          <w:rFonts w:ascii="Arial" w:hAnsi="Arial"/>
        </w:rPr>
        <w:t>r</w:t>
      </w:r>
      <w:r w:rsidR="005744F2">
        <w:rPr>
          <w:rFonts w:ascii="Arial" w:hAnsi="Arial"/>
        </w:rPr>
        <w:t xml:space="preserve"> Substrat</w:t>
      </w:r>
      <w:r w:rsidR="005B0D16">
        <w:rPr>
          <w:rFonts w:ascii="Arial" w:hAnsi="Arial"/>
        </w:rPr>
        <w:t>textur</w:t>
      </w:r>
      <w:r w:rsidR="005744F2">
        <w:rPr>
          <w:rFonts w:ascii="Arial" w:hAnsi="Arial"/>
        </w:rPr>
        <w:t xml:space="preserve"> oder Staub. Auch </w:t>
      </w:r>
      <w:r w:rsidR="003A6404">
        <w:rPr>
          <w:rFonts w:ascii="Arial" w:hAnsi="Arial"/>
        </w:rPr>
        <w:t>durch das</w:t>
      </w:r>
      <w:r w:rsidR="005744F2">
        <w:rPr>
          <w:rFonts w:ascii="Arial" w:hAnsi="Arial"/>
        </w:rPr>
        <w:t xml:space="preserve"> </w:t>
      </w:r>
      <w:r>
        <w:rPr>
          <w:rFonts w:ascii="Arial" w:hAnsi="Arial"/>
        </w:rPr>
        <w:t>Messgerät</w:t>
      </w:r>
      <w:r w:rsidR="005744F2">
        <w:rPr>
          <w:rFonts w:ascii="Arial" w:hAnsi="Arial"/>
        </w:rPr>
        <w:t xml:space="preserve"> </w:t>
      </w:r>
      <w:r w:rsidR="00C1096D">
        <w:rPr>
          <w:rFonts w:ascii="Arial" w:hAnsi="Arial"/>
        </w:rPr>
        <w:t xml:space="preserve">selbst </w:t>
      </w:r>
      <w:r w:rsidR="003A6404">
        <w:rPr>
          <w:rFonts w:ascii="Arial" w:hAnsi="Arial"/>
        </w:rPr>
        <w:t xml:space="preserve">entstehen </w:t>
      </w:r>
      <w:r w:rsidR="00C1096D">
        <w:rPr>
          <w:rFonts w:ascii="Arial" w:hAnsi="Arial"/>
        </w:rPr>
        <w:t>Abweichungen</w:t>
      </w:r>
      <w:r w:rsidR="005E5E4E">
        <w:rPr>
          <w:rFonts w:ascii="Arial" w:hAnsi="Arial"/>
        </w:rPr>
        <w:t>.</w:t>
      </w:r>
      <w:r w:rsidR="005744F2">
        <w:rPr>
          <w:rFonts w:ascii="Arial" w:hAnsi="Arial"/>
        </w:rPr>
        <w:t xml:space="preserve"> </w:t>
      </w:r>
      <w:r w:rsidR="002C2FDA">
        <w:rPr>
          <w:rFonts w:ascii="Arial" w:hAnsi="Arial"/>
        </w:rPr>
        <w:t xml:space="preserve"> </w:t>
      </w:r>
      <w:r w:rsidR="005744F2">
        <w:rPr>
          <w:rFonts w:ascii="Arial" w:hAnsi="Arial"/>
        </w:rPr>
        <w:t xml:space="preserve">GMG OpenColor </w:t>
      </w:r>
      <w:r w:rsidR="005E5E4E">
        <w:rPr>
          <w:rFonts w:ascii="Arial" w:hAnsi="Arial"/>
        </w:rPr>
        <w:t>Anwender</w:t>
      </w:r>
      <w:r w:rsidR="003A6404">
        <w:rPr>
          <w:rFonts w:ascii="Arial" w:hAnsi="Arial"/>
        </w:rPr>
        <w:t xml:space="preserve"> waren </w:t>
      </w:r>
      <w:r w:rsidR="005E5E4E">
        <w:rPr>
          <w:rFonts w:ascii="Arial" w:hAnsi="Arial"/>
        </w:rPr>
        <w:t xml:space="preserve">früher auf Drittanbieter-Software </w:t>
      </w:r>
      <w:r w:rsidR="003A6404">
        <w:rPr>
          <w:rFonts w:ascii="Arial" w:hAnsi="Arial"/>
        </w:rPr>
        <w:t xml:space="preserve">zur Messdatenoptimierung </w:t>
      </w:r>
      <w:r w:rsidR="005E5E4E">
        <w:rPr>
          <w:rFonts w:ascii="Arial" w:hAnsi="Arial"/>
        </w:rPr>
        <w:t xml:space="preserve">oder das </w:t>
      </w:r>
      <w:r w:rsidR="003A6404">
        <w:rPr>
          <w:rFonts w:ascii="Arial" w:hAnsi="Arial"/>
        </w:rPr>
        <w:t xml:space="preserve">nachträgliche </w:t>
      </w:r>
      <w:r w:rsidR="005E5E4E">
        <w:rPr>
          <w:rFonts w:ascii="Arial" w:hAnsi="Arial"/>
        </w:rPr>
        <w:t>manuelle Korrigieren von Profilen angewiesen</w:t>
      </w:r>
      <w:r w:rsidR="003A6404">
        <w:rPr>
          <w:rFonts w:ascii="Arial" w:hAnsi="Arial"/>
        </w:rPr>
        <w:t>. Mit</w:t>
      </w:r>
      <w:r w:rsidR="005744F2">
        <w:rPr>
          <w:rFonts w:ascii="Arial" w:hAnsi="Arial"/>
        </w:rPr>
        <w:t xml:space="preserve"> Version</w:t>
      </w:r>
      <w:r w:rsidR="005E5E4E">
        <w:rPr>
          <w:rFonts w:ascii="Arial" w:hAnsi="Arial"/>
        </w:rPr>
        <w:t xml:space="preserve"> 2.2 </w:t>
      </w:r>
      <w:r w:rsidR="003A6404">
        <w:rPr>
          <w:rFonts w:ascii="Arial" w:hAnsi="Arial"/>
        </w:rPr>
        <w:t xml:space="preserve">wird das Leben </w:t>
      </w:r>
      <w:r w:rsidR="005E5E4E">
        <w:rPr>
          <w:rFonts w:ascii="Arial" w:hAnsi="Arial"/>
        </w:rPr>
        <w:t xml:space="preserve">einfacher: Durch die </w:t>
      </w:r>
      <w:r w:rsidR="005744F2">
        <w:rPr>
          <w:rFonts w:ascii="Arial" w:hAnsi="Arial"/>
        </w:rPr>
        <w:t>automatische Messdatenoptimierung</w:t>
      </w:r>
      <w:r w:rsidR="005E5E4E">
        <w:rPr>
          <w:rFonts w:ascii="Arial" w:hAnsi="Arial"/>
        </w:rPr>
        <w:t xml:space="preserve"> </w:t>
      </w:r>
      <w:r w:rsidR="005744F2">
        <w:rPr>
          <w:rFonts w:ascii="Arial" w:hAnsi="Arial"/>
        </w:rPr>
        <w:t xml:space="preserve">gelangt man in wenigen Schritten zum farbverbindlichen Profil </w:t>
      </w:r>
      <w:r w:rsidR="005744F2">
        <w:rPr>
          <w:rFonts w:ascii="Arial" w:hAnsi="Arial"/>
        </w:rPr>
        <w:softHyphen/>
        <w:t xml:space="preserve">– branchenführende Qualität garantiert. </w:t>
      </w:r>
    </w:p>
    <w:p w:rsidR="00FF5F64" w:rsidRDefault="00FF5F64" w:rsidP="00AD3093">
      <w:pPr>
        <w:ind w:left="1411"/>
        <w:rPr>
          <w:rFonts w:ascii="Arial" w:hAnsi="Arial"/>
        </w:rPr>
      </w:pPr>
    </w:p>
    <w:p w:rsidR="005E5E4E" w:rsidRPr="00413A06" w:rsidRDefault="005E5E4E" w:rsidP="005E5E4E">
      <w:pPr>
        <w:ind w:left="1411"/>
        <w:rPr>
          <w:rFonts w:ascii="Arial" w:hAnsi="Arial"/>
          <w:b/>
        </w:rPr>
      </w:pPr>
      <w:r>
        <w:rPr>
          <w:rFonts w:ascii="Arial" w:hAnsi="Arial"/>
          <w:b/>
        </w:rPr>
        <w:t>Spektraldaten machen den Unterschied</w:t>
      </w:r>
      <w:r w:rsidR="005744F2">
        <w:rPr>
          <w:rFonts w:ascii="Arial" w:hAnsi="Arial"/>
          <w:b/>
        </w:rPr>
        <w:t xml:space="preserve"> </w:t>
      </w:r>
      <w:r w:rsidR="005744F2">
        <w:rPr>
          <w:rFonts w:ascii="Arial" w:hAnsi="Arial"/>
          <w:b/>
        </w:rPr>
        <w:softHyphen/>
        <w:t>– auch bei der</w:t>
      </w:r>
      <w:r>
        <w:rPr>
          <w:rFonts w:ascii="Arial" w:hAnsi="Arial"/>
          <w:b/>
        </w:rPr>
        <w:t xml:space="preserve"> Messdatenoptimier</w:t>
      </w:r>
      <w:r w:rsidR="005744F2">
        <w:rPr>
          <w:rFonts w:ascii="Arial" w:hAnsi="Arial"/>
          <w:b/>
        </w:rPr>
        <w:t>ung</w:t>
      </w:r>
      <w:r>
        <w:rPr>
          <w:rFonts w:ascii="Arial" w:hAnsi="Arial"/>
          <w:b/>
        </w:rPr>
        <w:t xml:space="preserve"> </w:t>
      </w:r>
    </w:p>
    <w:p w:rsidR="00FF5F64" w:rsidRDefault="005744F2" w:rsidP="002C2FDA">
      <w:pPr>
        <w:ind w:left="1411"/>
        <w:rPr>
          <w:rFonts w:ascii="Arial" w:hAnsi="Arial"/>
        </w:rPr>
      </w:pPr>
      <w:r>
        <w:rPr>
          <w:rFonts w:ascii="Arial" w:hAnsi="Arial"/>
        </w:rPr>
        <w:t>GMG Produktmanager Peter Schö</w:t>
      </w:r>
      <w:r w:rsidRPr="009A50EC">
        <w:rPr>
          <w:rFonts w:ascii="Arial" w:hAnsi="Arial"/>
        </w:rPr>
        <w:t xml:space="preserve">ffler </w:t>
      </w:r>
      <w:r>
        <w:rPr>
          <w:rFonts w:ascii="Arial" w:hAnsi="Arial"/>
        </w:rPr>
        <w:t>erklär</w:t>
      </w:r>
      <w:r w:rsidRPr="009A50EC">
        <w:rPr>
          <w:rFonts w:ascii="Arial" w:hAnsi="Arial"/>
        </w:rPr>
        <w:t xml:space="preserve">t: </w:t>
      </w:r>
      <w:r>
        <w:rPr>
          <w:rFonts w:ascii="Arial" w:hAnsi="Arial"/>
        </w:rPr>
        <w:t>„</w:t>
      </w:r>
      <w:r w:rsidR="00C1096D">
        <w:rPr>
          <w:rFonts w:ascii="Arial" w:hAnsi="Arial"/>
        </w:rPr>
        <w:t>Die Messdateno</w:t>
      </w:r>
      <w:r>
        <w:rPr>
          <w:rFonts w:ascii="Arial" w:hAnsi="Arial"/>
        </w:rPr>
        <w:t>ptimierung</w:t>
      </w:r>
      <w:r w:rsidR="00DE7E50">
        <w:rPr>
          <w:rFonts w:ascii="Arial" w:hAnsi="Arial"/>
        </w:rPr>
        <w:t xml:space="preserve"> basiert auf </w:t>
      </w:r>
      <w:r w:rsidR="00BF019E">
        <w:rPr>
          <w:rFonts w:ascii="Arial" w:hAnsi="Arial"/>
        </w:rPr>
        <w:t xml:space="preserve">direkt auf </w:t>
      </w:r>
      <w:r w:rsidR="00DE7E50">
        <w:rPr>
          <w:rFonts w:ascii="Arial" w:hAnsi="Arial"/>
        </w:rPr>
        <w:t xml:space="preserve">den </w:t>
      </w:r>
      <w:r w:rsidR="00C1096D">
        <w:rPr>
          <w:rFonts w:ascii="Arial" w:hAnsi="Arial"/>
        </w:rPr>
        <w:t>eingelesenen</w:t>
      </w:r>
      <w:r w:rsidR="00A1120D">
        <w:rPr>
          <w:rFonts w:ascii="Arial" w:hAnsi="Arial"/>
        </w:rPr>
        <w:t xml:space="preserve"> </w:t>
      </w:r>
      <w:r w:rsidR="00DE7E50">
        <w:rPr>
          <w:rFonts w:ascii="Arial" w:hAnsi="Arial"/>
        </w:rPr>
        <w:t>Spektraldaten</w:t>
      </w:r>
      <w:r w:rsidR="00C1096D">
        <w:rPr>
          <w:rFonts w:ascii="Arial" w:hAnsi="Arial"/>
        </w:rPr>
        <w:t xml:space="preserve">. Diese werden anschließend in unserem Spektralmodel </w:t>
      </w:r>
      <w:r w:rsidR="00C1096D">
        <w:rPr>
          <w:rFonts w:ascii="Arial" w:hAnsi="Arial"/>
        </w:rPr>
        <w:lastRenderedPageBreak/>
        <w:t>weiterverrechnet. Somit arbeitet GMG OpenColor durchgängig</w:t>
      </w:r>
      <w:r w:rsidR="00DE7E50">
        <w:rPr>
          <w:rFonts w:ascii="Arial" w:hAnsi="Arial"/>
        </w:rPr>
        <w:t xml:space="preserve"> </w:t>
      </w:r>
      <w:r w:rsidR="00C1096D">
        <w:rPr>
          <w:rFonts w:ascii="Arial" w:hAnsi="Arial"/>
        </w:rPr>
        <w:t xml:space="preserve">auf derselben Basis – </w:t>
      </w:r>
      <w:r w:rsidR="00DE7E50">
        <w:rPr>
          <w:rFonts w:ascii="Arial" w:hAnsi="Arial"/>
        </w:rPr>
        <w:t xml:space="preserve">ohne </w:t>
      </w:r>
      <w:r w:rsidR="00C1096D">
        <w:rPr>
          <w:rFonts w:ascii="Arial" w:hAnsi="Arial"/>
        </w:rPr>
        <w:t xml:space="preserve">einen verzerrungsbehafteten Umweg nach </w:t>
      </w:r>
      <w:r w:rsidR="00BF019E">
        <w:rPr>
          <w:rFonts w:ascii="Arial" w:hAnsi="Arial"/>
        </w:rPr>
        <w:t>Lab</w:t>
      </w:r>
      <w:r w:rsidR="00DE7E50">
        <w:rPr>
          <w:rFonts w:ascii="Arial" w:hAnsi="Arial"/>
        </w:rPr>
        <w:t>.</w:t>
      </w:r>
      <w:r w:rsidR="00BF019E">
        <w:rPr>
          <w:rFonts w:ascii="Arial" w:hAnsi="Arial"/>
        </w:rPr>
        <w:t xml:space="preserve">“ Dies führe </w:t>
      </w:r>
      <w:r w:rsidR="006656B6">
        <w:rPr>
          <w:rFonts w:ascii="Arial" w:hAnsi="Arial"/>
        </w:rPr>
        <w:t>am Ende</w:t>
      </w:r>
      <w:r w:rsidR="00BF019E">
        <w:rPr>
          <w:rFonts w:ascii="Arial" w:hAnsi="Arial"/>
        </w:rPr>
        <w:t xml:space="preserve"> zu verlässlichen P</w:t>
      </w:r>
      <w:r w:rsidR="00A1120D">
        <w:rPr>
          <w:rFonts w:ascii="Arial" w:hAnsi="Arial"/>
        </w:rPr>
        <w:t>rofil</w:t>
      </w:r>
      <w:r w:rsidR="00BF019E">
        <w:rPr>
          <w:rFonts w:ascii="Arial" w:hAnsi="Arial"/>
        </w:rPr>
        <w:t>en in branchenführender Qualität</w:t>
      </w:r>
      <w:r w:rsidR="00A1120D">
        <w:rPr>
          <w:rFonts w:ascii="Arial" w:hAnsi="Arial"/>
        </w:rPr>
        <w:t xml:space="preserve">. </w:t>
      </w:r>
      <w:r w:rsidR="0036100E">
        <w:rPr>
          <w:rFonts w:ascii="Arial" w:hAnsi="Arial"/>
        </w:rPr>
        <w:t>Wie stark die Optimierung</w:t>
      </w:r>
      <w:r w:rsidR="00FF5F64">
        <w:rPr>
          <w:rFonts w:ascii="Arial" w:hAnsi="Arial"/>
        </w:rPr>
        <w:t xml:space="preserve"> eingreift, lässt sich in der Software konfigurieren und analysieren.</w:t>
      </w:r>
    </w:p>
    <w:p w:rsidR="002A6D4C" w:rsidRDefault="002A6D4C" w:rsidP="002C2FDA">
      <w:pPr>
        <w:ind w:left="1411"/>
        <w:rPr>
          <w:rFonts w:ascii="Arial" w:hAnsi="Arial"/>
        </w:rPr>
      </w:pPr>
    </w:p>
    <w:p w:rsidR="002A6D4C" w:rsidRDefault="002A6D4C" w:rsidP="002C2FDA">
      <w:pPr>
        <w:ind w:left="1411"/>
        <w:rPr>
          <w:rFonts w:ascii="Arial" w:hAnsi="Arial"/>
        </w:rPr>
      </w:pPr>
      <w:r>
        <w:rPr>
          <w:rFonts w:ascii="Arial" w:hAnsi="Arial"/>
        </w:rPr>
        <w:t>Die Unterstützung des CxF/X-4-Standards rundet die neue GMG OpenColor</w:t>
      </w:r>
      <w:r w:rsidR="00164F89">
        <w:rPr>
          <w:rFonts w:ascii="Arial" w:hAnsi="Arial"/>
        </w:rPr>
        <w:t xml:space="preserve"> </w:t>
      </w:r>
      <w:r>
        <w:rPr>
          <w:rFonts w:ascii="Arial" w:hAnsi="Arial"/>
        </w:rPr>
        <w:t>Version ab: Nun können Spektralwerte samt Tonwertabstufungen an alle Beteiligte einer Druckproduktion weitergegeben werden.</w:t>
      </w:r>
    </w:p>
    <w:p w:rsidR="00FF5F64" w:rsidRDefault="00FF5F64" w:rsidP="00FF5F64">
      <w:pPr>
        <w:ind w:left="1411"/>
        <w:rPr>
          <w:rFonts w:ascii="Arial" w:hAnsi="Arial"/>
        </w:rPr>
      </w:pPr>
    </w:p>
    <w:p w:rsidR="00AD3093" w:rsidRPr="009A50EC" w:rsidRDefault="00AD3093" w:rsidP="003F6840">
      <w:pPr>
        <w:jc w:val="left"/>
        <w:rPr>
          <w:rFonts w:ascii="Arial" w:hAnsi="Arial" w:cs="Arial"/>
        </w:rPr>
      </w:pPr>
      <w:r w:rsidRPr="009A50EC">
        <w:rPr>
          <w:rFonts w:ascii="Arial" w:hAnsi="Arial" w:cs="Arial"/>
        </w:rPr>
        <w:t xml:space="preserve">Mehr Informationen </w:t>
      </w:r>
      <w:r w:rsidR="00996A07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GMG OpenColor finden Sie unter: </w:t>
      </w:r>
      <w:hyperlink r:id="rId11" w:history="1">
        <w:r w:rsidRPr="003C58D2">
          <w:rPr>
            <w:rStyle w:val="Hyperlink"/>
            <w:rFonts w:ascii="Arial" w:hAnsi="Arial" w:cs="Arial"/>
          </w:rPr>
          <w:t>www.gmgcolor.com/de/produkte/opencolor</w:t>
        </w:r>
      </w:hyperlink>
      <w:r>
        <w:rPr>
          <w:rFonts w:ascii="Arial" w:hAnsi="Arial" w:cs="Arial"/>
        </w:rPr>
        <w:t xml:space="preserve"> </w:t>
      </w:r>
    </w:p>
    <w:p w:rsidR="00E01620" w:rsidRPr="001F3A1E" w:rsidRDefault="00AD3093" w:rsidP="00AD3093">
      <w:pPr>
        <w:ind w:left="14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 w:rsidRPr="007609DE">
        <w:rPr>
          <w:rFonts w:ascii="Arial" w:hAnsi="Arial" w:cs="Arial"/>
          <w:b/>
          <w:sz w:val="22"/>
        </w:rPr>
        <w:t>Ende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  <w:lang w:val="en-GB" w:eastAsia="en-GB"/>
              </w:rPr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lastRenderedPageBreak/>
              <w:t>© 201</w:t>
            </w:r>
            <w:r w:rsidR="002C2FDA">
              <w:rPr>
                <w:rStyle w:val="PRBoilerplateHeadlineZchn"/>
                <w:rFonts w:ascii="Arial" w:hAnsi="Arial"/>
                <w:szCs w:val="16"/>
              </w:rPr>
              <w:t>8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3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5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http://twitter.com/gmgcolo</w:t>
              </w:r>
              <w:r w:rsidR="006E2961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ruk</w:t>
              </w:r>
            </w:hyperlink>
          </w:p>
          <w:p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GMG GmbH &amp; Co. KG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contact: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Phone: + 49 (0) 7071 938 74-0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Michael Grass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Fax: + 49 (0) 7071 938 74-22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AD Communications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E-mail: pr@gmgcolor.com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+ 44 (0) 1372 464470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AD3093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Pr="00676EB0">
              <w:rPr>
                <w:rFonts w:ascii="Arial" w:hAnsi="Arial" w:cs="Arial"/>
              </w:rPr>
              <w:t>E-mail: mgrass@adcomms.co.uk</w:t>
            </w:r>
            <w:r w:rsidRPr="00676EB0">
              <w:rPr>
                <w:rFonts w:ascii="Arial" w:hAnsi="Arial" w:cs="Arial"/>
              </w:rPr>
              <w:tab/>
              <w:t>E-mail: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Address"/>
              <w:rPr>
                <w:rFonts w:ascii="Arial" w:hAnsi="Arial" w:cs="Arial"/>
                <w:lang w:val="pt-BR"/>
              </w:rPr>
            </w:pP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Copytext"/>
              <w:tabs>
                <w:tab w:val="left" w:pos="5490"/>
              </w:tabs>
              <w:rPr>
                <w:rStyle w:val="PRBoilerplateCopytextZchn"/>
                <w:rFonts w:ascii="Arial" w:hAnsi="Arial" w:cs="Arial"/>
                <w:b/>
                <w:szCs w:val="16"/>
                <w:lang w:val="pt-BR"/>
              </w:rPr>
            </w:pP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  <w:tcBorders>
              <w:bottom w:val="nil"/>
            </w:tcBorders>
          </w:tcPr>
          <w:p w:rsidR="00145477" w:rsidRPr="00145477" w:rsidRDefault="00145477" w:rsidP="002A6753">
            <w:pPr>
              <w:pStyle w:val="PRBoilerplateCopytext"/>
              <w:tabs>
                <w:tab w:val="left" w:pos="5490"/>
              </w:tabs>
              <w:rPr>
                <w:rStyle w:val="PRBoilerplateCopytextZchn"/>
                <w:rFonts w:ascii="Arial" w:hAnsi="Arial" w:cs="Arial"/>
                <w:b/>
                <w:szCs w:val="16"/>
                <w:lang w:val="pt-BR"/>
              </w:rPr>
            </w:pPr>
          </w:p>
        </w:tc>
      </w:tr>
    </w:tbl>
    <w:p w:rsidR="00145477" w:rsidRPr="00145477" w:rsidRDefault="00145477">
      <w:pPr>
        <w:tabs>
          <w:tab w:val="left" w:pos="5490"/>
        </w:tabs>
        <w:spacing w:after="120"/>
        <w:ind w:left="1411"/>
        <w:jc w:val="center"/>
        <w:rPr>
          <w:rFonts w:ascii="Arial" w:hAnsi="Arial"/>
          <w:b/>
          <w:szCs w:val="24"/>
          <w:lang w:val="pt-BR"/>
        </w:rPr>
      </w:pPr>
    </w:p>
    <w:sectPr w:rsidR="00145477" w:rsidRPr="0014547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8E" w:rsidRDefault="00AE7E8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E7E8E" w:rsidRDefault="00AE7E8E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AE7E8E" w:rsidRDefault="00AE7E8E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HGPMincho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A676A3">
      <w:rPr>
        <w:rStyle w:val="PageNumber"/>
        <w:rFonts w:ascii="Arial" w:hAnsi="Arial"/>
        <w:szCs w:val="24"/>
        <w:lang w:val="en-US"/>
      </w:rPr>
      <w:t>3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Cs w:val="24"/>
        <w:lang w:val="en-US"/>
      </w:rPr>
      <w:t xml:space="preserve"> of </w:t>
    </w:r>
    <w:r>
      <w:rPr>
        <w:rStyle w:val="PageNumber"/>
        <w:rFonts w:ascii="Arial" w:hAnsi="Arial"/>
        <w:noProof w:val="0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Cs w:val="24"/>
        <w:lang w:val="en-US"/>
      </w:rPr>
      <w:fldChar w:fldCharType="separate"/>
    </w:r>
    <w:r w:rsidR="00A676A3">
      <w:rPr>
        <w:rStyle w:val="PageNumber"/>
        <w:rFonts w:ascii="Arial" w:hAnsi="Arial"/>
        <w:szCs w:val="24"/>
        <w:lang w:val="en-US"/>
      </w:rPr>
      <w:t>3</w:t>
    </w:r>
    <w:r>
      <w:rPr>
        <w:rStyle w:val="PageNumber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A676A3">
      <w:rPr>
        <w:rStyle w:val="PageNumber"/>
        <w:rFonts w:ascii="Arial" w:hAnsi="Arial"/>
        <w:sz w:val="14"/>
        <w:szCs w:val="24"/>
        <w:lang w:val="en-US"/>
      </w:rPr>
      <w:t>1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PageNumber"/>
        <w:rFonts w:ascii="Arial" w:hAnsi="Arial"/>
        <w:noProof w:val="0"/>
        <w:sz w:val="14"/>
        <w:szCs w:val="24"/>
      </w:rPr>
      <w:t xml:space="preserve"> von 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PageNumber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separate"/>
    </w:r>
    <w:r w:rsidR="00A676A3">
      <w:rPr>
        <w:rStyle w:val="PageNumber"/>
        <w:rFonts w:ascii="Arial" w:hAnsi="Arial"/>
        <w:sz w:val="14"/>
        <w:szCs w:val="24"/>
        <w:lang w:val="en-US"/>
      </w:rPr>
      <w:t>3</w:t>
    </w:r>
    <w:r>
      <w:rPr>
        <w:rStyle w:val="PageNumber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8E" w:rsidRDefault="00AE7E8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E7E8E" w:rsidRDefault="00AE7E8E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AE7E8E" w:rsidRDefault="00AE7E8E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Heading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Heading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Header"/>
      <w:rPr>
        <w:rFonts w:ascii="Arial" w:hAnsi="Arial"/>
        <w:szCs w:val="24"/>
        <w:lang w:val="en-US"/>
      </w:rPr>
    </w:pP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Mömpelgarder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Heading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Heading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Header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3.75pt" o:bullet="t">
        <v:imagedata r:id="rId1" o:title=""/>
      </v:shape>
    </w:pict>
  </w:numPicBullet>
  <w:numPicBullet w:numPicBulletId="1">
    <w:pict>
      <v:shape id="_x0000_i1033" type="#_x0000_t75" style="width:294.75pt;height:180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6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5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7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7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45"/>
  </w:num>
  <w:num w:numId="5">
    <w:abstractNumId w:val="9"/>
  </w:num>
  <w:num w:numId="6">
    <w:abstractNumId w:val="32"/>
  </w:num>
  <w:num w:numId="7">
    <w:abstractNumId w:val="0"/>
  </w:num>
  <w:num w:numId="8">
    <w:abstractNumId w:val="11"/>
  </w:num>
  <w:num w:numId="9">
    <w:abstractNumId w:val="17"/>
  </w:num>
  <w:num w:numId="10">
    <w:abstractNumId w:val="20"/>
  </w:num>
  <w:num w:numId="11">
    <w:abstractNumId w:val="25"/>
  </w:num>
  <w:num w:numId="12">
    <w:abstractNumId w:val="3"/>
  </w:num>
  <w:num w:numId="13">
    <w:abstractNumId w:val="41"/>
  </w:num>
  <w:num w:numId="14">
    <w:abstractNumId w:val="43"/>
  </w:num>
  <w:num w:numId="15">
    <w:abstractNumId w:val="12"/>
  </w:num>
  <w:num w:numId="16">
    <w:abstractNumId w:val="39"/>
  </w:num>
  <w:num w:numId="17">
    <w:abstractNumId w:val="23"/>
  </w:num>
  <w:num w:numId="18">
    <w:abstractNumId w:val="35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"/>
  </w:num>
  <w:num w:numId="24">
    <w:abstractNumId w:val="19"/>
  </w:num>
  <w:num w:numId="25">
    <w:abstractNumId w:val="7"/>
  </w:num>
  <w:num w:numId="26">
    <w:abstractNumId w:val="44"/>
  </w:num>
  <w:num w:numId="27">
    <w:abstractNumId w:val="14"/>
  </w:num>
  <w:num w:numId="28">
    <w:abstractNumId w:val="29"/>
  </w:num>
  <w:num w:numId="29">
    <w:abstractNumId w:val="42"/>
  </w:num>
  <w:num w:numId="30">
    <w:abstractNumId w:val="27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6"/>
  </w:num>
  <w:num w:numId="36">
    <w:abstractNumId w:val="36"/>
  </w:num>
  <w:num w:numId="37">
    <w:abstractNumId w:val="30"/>
  </w:num>
  <w:num w:numId="38">
    <w:abstractNumId w:val="34"/>
  </w:num>
  <w:num w:numId="39">
    <w:abstractNumId w:val="31"/>
  </w:num>
  <w:num w:numId="40">
    <w:abstractNumId w:val="16"/>
  </w:num>
  <w:num w:numId="41">
    <w:abstractNumId w:val="46"/>
  </w:num>
  <w:num w:numId="42">
    <w:abstractNumId w:val="5"/>
  </w:num>
  <w:num w:numId="43">
    <w:abstractNumId w:val="26"/>
  </w:num>
  <w:num w:numId="44">
    <w:abstractNumId w:val="33"/>
  </w:num>
  <w:num w:numId="45">
    <w:abstractNumId w:val="38"/>
  </w:num>
  <w:num w:numId="46">
    <w:abstractNumId w:val="37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14979"/>
    <w:rsid w:val="00024C7E"/>
    <w:rsid w:val="00031E47"/>
    <w:rsid w:val="00035C06"/>
    <w:rsid w:val="0004129D"/>
    <w:rsid w:val="00041E61"/>
    <w:rsid w:val="000431E6"/>
    <w:rsid w:val="000435A2"/>
    <w:rsid w:val="000467A2"/>
    <w:rsid w:val="00046DB9"/>
    <w:rsid w:val="00051B1E"/>
    <w:rsid w:val="000544D9"/>
    <w:rsid w:val="00055DBB"/>
    <w:rsid w:val="00056AD1"/>
    <w:rsid w:val="00062187"/>
    <w:rsid w:val="00063F3A"/>
    <w:rsid w:val="0006441C"/>
    <w:rsid w:val="00067AF3"/>
    <w:rsid w:val="00067B66"/>
    <w:rsid w:val="0007600A"/>
    <w:rsid w:val="0008220B"/>
    <w:rsid w:val="00083424"/>
    <w:rsid w:val="00083CFD"/>
    <w:rsid w:val="00090782"/>
    <w:rsid w:val="00097791"/>
    <w:rsid w:val="000A0E36"/>
    <w:rsid w:val="000A1ABF"/>
    <w:rsid w:val="000A2BDF"/>
    <w:rsid w:val="000A2C20"/>
    <w:rsid w:val="000A56E0"/>
    <w:rsid w:val="000C0C2D"/>
    <w:rsid w:val="000C579B"/>
    <w:rsid w:val="000C676D"/>
    <w:rsid w:val="000C6DBD"/>
    <w:rsid w:val="000D0ADB"/>
    <w:rsid w:val="000D102F"/>
    <w:rsid w:val="000D50C9"/>
    <w:rsid w:val="000D6E4D"/>
    <w:rsid w:val="000E2897"/>
    <w:rsid w:val="000E2A50"/>
    <w:rsid w:val="000E5A04"/>
    <w:rsid w:val="000F0B9A"/>
    <w:rsid w:val="000F6730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A46"/>
    <w:rsid w:val="00163BA5"/>
    <w:rsid w:val="00164F89"/>
    <w:rsid w:val="00165799"/>
    <w:rsid w:val="00166C96"/>
    <w:rsid w:val="00167056"/>
    <w:rsid w:val="00171E08"/>
    <w:rsid w:val="0017232F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78FB"/>
    <w:rsid w:val="001B012A"/>
    <w:rsid w:val="001B0B6E"/>
    <w:rsid w:val="001B2CA6"/>
    <w:rsid w:val="001B5AB1"/>
    <w:rsid w:val="001C3153"/>
    <w:rsid w:val="001C34E2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FDA"/>
    <w:rsid w:val="00272BE6"/>
    <w:rsid w:val="00273317"/>
    <w:rsid w:val="00275111"/>
    <w:rsid w:val="00275724"/>
    <w:rsid w:val="002833FA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4D67"/>
    <w:rsid w:val="002A6336"/>
    <w:rsid w:val="002A6753"/>
    <w:rsid w:val="002A6D4C"/>
    <w:rsid w:val="002C0A63"/>
    <w:rsid w:val="002C0B23"/>
    <w:rsid w:val="002C2624"/>
    <w:rsid w:val="002C2FDA"/>
    <w:rsid w:val="002C3142"/>
    <w:rsid w:val="002C5DAC"/>
    <w:rsid w:val="002D28EE"/>
    <w:rsid w:val="002D68A7"/>
    <w:rsid w:val="002D7AF0"/>
    <w:rsid w:val="002E448D"/>
    <w:rsid w:val="002E4FD3"/>
    <w:rsid w:val="002E59A9"/>
    <w:rsid w:val="002E6B69"/>
    <w:rsid w:val="002F1D81"/>
    <w:rsid w:val="002F4BB7"/>
    <w:rsid w:val="00300D38"/>
    <w:rsid w:val="003010E0"/>
    <w:rsid w:val="00302EB8"/>
    <w:rsid w:val="00303A83"/>
    <w:rsid w:val="003045A7"/>
    <w:rsid w:val="00305167"/>
    <w:rsid w:val="00311FBC"/>
    <w:rsid w:val="00317F42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100E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875DA"/>
    <w:rsid w:val="00391DF5"/>
    <w:rsid w:val="003941AE"/>
    <w:rsid w:val="00395B66"/>
    <w:rsid w:val="00397FFC"/>
    <w:rsid w:val="003A1B5C"/>
    <w:rsid w:val="003A2205"/>
    <w:rsid w:val="003A6404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7380"/>
    <w:rsid w:val="003F20EC"/>
    <w:rsid w:val="003F469B"/>
    <w:rsid w:val="003F55B4"/>
    <w:rsid w:val="003F6840"/>
    <w:rsid w:val="00402BB8"/>
    <w:rsid w:val="00403E59"/>
    <w:rsid w:val="00406F3E"/>
    <w:rsid w:val="00414269"/>
    <w:rsid w:val="00415DA9"/>
    <w:rsid w:val="00423DA6"/>
    <w:rsid w:val="00424BF8"/>
    <w:rsid w:val="00425AB0"/>
    <w:rsid w:val="00427B88"/>
    <w:rsid w:val="0043017F"/>
    <w:rsid w:val="004302E6"/>
    <w:rsid w:val="00431EA9"/>
    <w:rsid w:val="0044329D"/>
    <w:rsid w:val="0044559C"/>
    <w:rsid w:val="00446666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7B8D"/>
    <w:rsid w:val="00480515"/>
    <w:rsid w:val="004833D1"/>
    <w:rsid w:val="0048348F"/>
    <w:rsid w:val="004834F8"/>
    <w:rsid w:val="00487180"/>
    <w:rsid w:val="00495E5C"/>
    <w:rsid w:val="00496BB5"/>
    <w:rsid w:val="004A1046"/>
    <w:rsid w:val="004A7C15"/>
    <w:rsid w:val="004B2374"/>
    <w:rsid w:val="004B4FF7"/>
    <w:rsid w:val="004B5F52"/>
    <w:rsid w:val="004B76CA"/>
    <w:rsid w:val="004C440B"/>
    <w:rsid w:val="004C526D"/>
    <w:rsid w:val="004D1042"/>
    <w:rsid w:val="004E07D5"/>
    <w:rsid w:val="004E08EC"/>
    <w:rsid w:val="004E463C"/>
    <w:rsid w:val="004E5C96"/>
    <w:rsid w:val="004E739C"/>
    <w:rsid w:val="004F23AE"/>
    <w:rsid w:val="004F3C08"/>
    <w:rsid w:val="004F4EC1"/>
    <w:rsid w:val="004F737F"/>
    <w:rsid w:val="00500704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723"/>
    <w:rsid w:val="00542585"/>
    <w:rsid w:val="00545063"/>
    <w:rsid w:val="00546E1C"/>
    <w:rsid w:val="00547670"/>
    <w:rsid w:val="005574D3"/>
    <w:rsid w:val="00560054"/>
    <w:rsid w:val="005632A4"/>
    <w:rsid w:val="0056535E"/>
    <w:rsid w:val="0056692C"/>
    <w:rsid w:val="005678D8"/>
    <w:rsid w:val="0057380C"/>
    <w:rsid w:val="005744F2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B0D16"/>
    <w:rsid w:val="005C1B19"/>
    <w:rsid w:val="005C3EB4"/>
    <w:rsid w:val="005C5157"/>
    <w:rsid w:val="005C7C10"/>
    <w:rsid w:val="005D078A"/>
    <w:rsid w:val="005D082A"/>
    <w:rsid w:val="005E07AC"/>
    <w:rsid w:val="005E0B77"/>
    <w:rsid w:val="005E15C3"/>
    <w:rsid w:val="005E1AAD"/>
    <w:rsid w:val="005E2298"/>
    <w:rsid w:val="005E232C"/>
    <w:rsid w:val="005E3707"/>
    <w:rsid w:val="005E5E4E"/>
    <w:rsid w:val="005F0516"/>
    <w:rsid w:val="005F155E"/>
    <w:rsid w:val="005F69A2"/>
    <w:rsid w:val="006009D6"/>
    <w:rsid w:val="00601B27"/>
    <w:rsid w:val="00604C1B"/>
    <w:rsid w:val="00604CD9"/>
    <w:rsid w:val="0060690A"/>
    <w:rsid w:val="006107D4"/>
    <w:rsid w:val="00614341"/>
    <w:rsid w:val="00615204"/>
    <w:rsid w:val="00621C97"/>
    <w:rsid w:val="006221F5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6B6"/>
    <w:rsid w:val="00665999"/>
    <w:rsid w:val="00667861"/>
    <w:rsid w:val="00671346"/>
    <w:rsid w:val="006744E8"/>
    <w:rsid w:val="00676405"/>
    <w:rsid w:val="00681D94"/>
    <w:rsid w:val="006845BE"/>
    <w:rsid w:val="006972B3"/>
    <w:rsid w:val="006A132A"/>
    <w:rsid w:val="006A3637"/>
    <w:rsid w:val="006B1248"/>
    <w:rsid w:val="006B22BA"/>
    <w:rsid w:val="006B4249"/>
    <w:rsid w:val="006C0AC9"/>
    <w:rsid w:val="006C15FA"/>
    <w:rsid w:val="006C7F77"/>
    <w:rsid w:val="006D0F13"/>
    <w:rsid w:val="006D21A3"/>
    <w:rsid w:val="006D7F2B"/>
    <w:rsid w:val="006E2961"/>
    <w:rsid w:val="006E489F"/>
    <w:rsid w:val="006E5241"/>
    <w:rsid w:val="006E6CFC"/>
    <w:rsid w:val="006F0D80"/>
    <w:rsid w:val="006F2BEA"/>
    <w:rsid w:val="006F3C70"/>
    <w:rsid w:val="00701A6E"/>
    <w:rsid w:val="007044F1"/>
    <w:rsid w:val="00713852"/>
    <w:rsid w:val="00714CBD"/>
    <w:rsid w:val="007157B7"/>
    <w:rsid w:val="00717B3A"/>
    <w:rsid w:val="00721E9E"/>
    <w:rsid w:val="00731458"/>
    <w:rsid w:val="007337E6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6AB0"/>
    <w:rsid w:val="00796128"/>
    <w:rsid w:val="007A2FD3"/>
    <w:rsid w:val="007A3104"/>
    <w:rsid w:val="007A6471"/>
    <w:rsid w:val="007B026A"/>
    <w:rsid w:val="007B17FB"/>
    <w:rsid w:val="007C11F5"/>
    <w:rsid w:val="007C1AA0"/>
    <w:rsid w:val="007C3973"/>
    <w:rsid w:val="007C407F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F2AC2"/>
    <w:rsid w:val="007F2BF0"/>
    <w:rsid w:val="007F2FAB"/>
    <w:rsid w:val="007F572E"/>
    <w:rsid w:val="00802BB6"/>
    <w:rsid w:val="008040BB"/>
    <w:rsid w:val="00804296"/>
    <w:rsid w:val="008055EE"/>
    <w:rsid w:val="0080595A"/>
    <w:rsid w:val="008067BB"/>
    <w:rsid w:val="00810751"/>
    <w:rsid w:val="0082077D"/>
    <w:rsid w:val="00823F07"/>
    <w:rsid w:val="0083057B"/>
    <w:rsid w:val="00840D64"/>
    <w:rsid w:val="00841CE2"/>
    <w:rsid w:val="00845247"/>
    <w:rsid w:val="008465E0"/>
    <w:rsid w:val="00847BB2"/>
    <w:rsid w:val="0085244F"/>
    <w:rsid w:val="008528FA"/>
    <w:rsid w:val="00852F34"/>
    <w:rsid w:val="00855C4B"/>
    <w:rsid w:val="00857664"/>
    <w:rsid w:val="008631B3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67B3"/>
    <w:rsid w:val="008D015F"/>
    <w:rsid w:val="008D0D53"/>
    <w:rsid w:val="008D5CD9"/>
    <w:rsid w:val="008E0378"/>
    <w:rsid w:val="008E0D82"/>
    <w:rsid w:val="008E2A67"/>
    <w:rsid w:val="008E3E05"/>
    <w:rsid w:val="008E5065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478B"/>
    <w:rsid w:val="009250A1"/>
    <w:rsid w:val="00925B2C"/>
    <w:rsid w:val="009264C3"/>
    <w:rsid w:val="00926A26"/>
    <w:rsid w:val="009346F8"/>
    <w:rsid w:val="00935FDA"/>
    <w:rsid w:val="00940376"/>
    <w:rsid w:val="00942A99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692C"/>
    <w:rsid w:val="00990F57"/>
    <w:rsid w:val="00990FEA"/>
    <w:rsid w:val="00991CB9"/>
    <w:rsid w:val="00992B5E"/>
    <w:rsid w:val="0099366B"/>
    <w:rsid w:val="00993F46"/>
    <w:rsid w:val="009950F7"/>
    <w:rsid w:val="00996A07"/>
    <w:rsid w:val="009A107A"/>
    <w:rsid w:val="009A384F"/>
    <w:rsid w:val="009A4756"/>
    <w:rsid w:val="009B5AAC"/>
    <w:rsid w:val="009B64EC"/>
    <w:rsid w:val="009C1F11"/>
    <w:rsid w:val="009C2E43"/>
    <w:rsid w:val="009C2F47"/>
    <w:rsid w:val="009C2F6F"/>
    <w:rsid w:val="009C47D9"/>
    <w:rsid w:val="009C6B07"/>
    <w:rsid w:val="009D2516"/>
    <w:rsid w:val="009D352D"/>
    <w:rsid w:val="009E3AB6"/>
    <w:rsid w:val="009E54CA"/>
    <w:rsid w:val="009E731F"/>
    <w:rsid w:val="009F3FDA"/>
    <w:rsid w:val="009F6F8A"/>
    <w:rsid w:val="009F73D5"/>
    <w:rsid w:val="00A1120D"/>
    <w:rsid w:val="00A14C44"/>
    <w:rsid w:val="00A16BFF"/>
    <w:rsid w:val="00A224EC"/>
    <w:rsid w:val="00A261BD"/>
    <w:rsid w:val="00A309C6"/>
    <w:rsid w:val="00A3351A"/>
    <w:rsid w:val="00A35466"/>
    <w:rsid w:val="00A4180B"/>
    <w:rsid w:val="00A45365"/>
    <w:rsid w:val="00A62D64"/>
    <w:rsid w:val="00A65908"/>
    <w:rsid w:val="00A676A3"/>
    <w:rsid w:val="00A676EE"/>
    <w:rsid w:val="00A718ED"/>
    <w:rsid w:val="00A71C3D"/>
    <w:rsid w:val="00A74610"/>
    <w:rsid w:val="00A75C9C"/>
    <w:rsid w:val="00A77F78"/>
    <w:rsid w:val="00A9057E"/>
    <w:rsid w:val="00A940EA"/>
    <w:rsid w:val="00AA03CD"/>
    <w:rsid w:val="00AA0F05"/>
    <w:rsid w:val="00AA2D4D"/>
    <w:rsid w:val="00AB169B"/>
    <w:rsid w:val="00AB4BE7"/>
    <w:rsid w:val="00AC52EF"/>
    <w:rsid w:val="00AC5665"/>
    <w:rsid w:val="00AC5771"/>
    <w:rsid w:val="00AD3093"/>
    <w:rsid w:val="00AD620A"/>
    <w:rsid w:val="00AE1B32"/>
    <w:rsid w:val="00AE288C"/>
    <w:rsid w:val="00AE349C"/>
    <w:rsid w:val="00AE620A"/>
    <w:rsid w:val="00AE6244"/>
    <w:rsid w:val="00AE7E8E"/>
    <w:rsid w:val="00AF03CD"/>
    <w:rsid w:val="00AF105D"/>
    <w:rsid w:val="00AF52A3"/>
    <w:rsid w:val="00B012C5"/>
    <w:rsid w:val="00B012D7"/>
    <w:rsid w:val="00B02E89"/>
    <w:rsid w:val="00B02F08"/>
    <w:rsid w:val="00B064B3"/>
    <w:rsid w:val="00B10A63"/>
    <w:rsid w:val="00B1108D"/>
    <w:rsid w:val="00B123DE"/>
    <w:rsid w:val="00B13776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3296"/>
    <w:rsid w:val="00B534CC"/>
    <w:rsid w:val="00B5670B"/>
    <w:rsid w:val="00B57244"/>
    <w:rsid w:val="00B63DC1"/>
    <w:rsid w:val="00B64741"/>
    <w:rsid w:val="00B647C0"/>
    <w:rsid w:val="00B649B8"/>
    <w:rsid w:val="00B6679A"/>
    <w:rsid w:val="00B70989"/>
    <w:rsid w:val="00B71CB2"/>
    <w:rsid w:val="00B73BC8"/>
    <w:rsid w:val="00B76481"/>
    <w:rsid w:val="00B76849"/>
    <w:rsid w:val="00B84182"/>
    <w:rsid w:val="00B84210"/>
    <w:rsid w:val="00B85801"/>
    <w:rsid w:val="00B86A6A"/>
    <w:rsid w:val="00B90107"/>
    <w:rsid w:val="00B920A4"/>
    <w:rsid w:val="00B94548"/>
    <w:rsid w:val="00B96B1E"/>
    <w:rsid w:val="00BA073B"/>
    <w:rsid w:val="00BA12A9"/>
    <w:rsid w:val="00BA5C61"/>
    <w:rsid w:val="00BA66C2"/>
    <w:rsid w:val="00BB26E1"/>
    <w:rsid w:val="00BB56BF"/>
    <w:rsid w:val="00BB7636"/>
    <w:rsid w:val="00BC0D6F"/>
    <w:rsid w:val="00BC37B8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19E"/>
    <w:rsid w:val="00BF05BC"/>
    <w:rsid w:val="00BF14D0"/>
    <w:rsid w:val="00BF1EDD"/>
    <w:rsid w:val="00BF34D0"/>
    <w:rsid w:val="00C0271E"/>
    <w:rsid w:val="00C02F42"/>
    <w:rsid w:val="00C0501D"/>
    <w:rsid w:val="00C1082B"/>
    <w:rsid w:val="00C1096D"/>
    <w:rsid w:val="00C10CAA"/>
    <w:rsid w:val="00C15665"/>
    <w:rsid w:val="00C15A7D"/>
    <w:rsid w:val="00C17F01"/>
    <w:rsid w:val="00C20F59"/>
    <w:rsid w:val="00C215B2"/>
    <w:rsid w:val="00C24A91"/>
    <w:rsid w:val="00C30043"/>
    <w:rsid w:val="00C33F27"/>
    <w:rsid w:val="00C444BE"/>
    <w:rsid w:val="00C44A04"/>
    <w:rsid w:val="00C450DB"/>
    <w:rsid w:val="00C45A68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B66"/>
    <w:rsid w:val="00C935AF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491C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0BF3"/>
    <w:rsid w:val="00D22C8D"/>
    <w:rsid w:val="00D272DF"/>
    <w:rsid w:val="00D2741B"/>
    <w:rsid w:val="00D35F8E"/>
    <w:rsid w:val="00D40020"/>
    <w:rsid w:val="00D41BAF"/>
    <w:rsid w:val="00D43BC3"/>
    <w:rsid w:val="00D4509A"/>
    <w:rsid w:val="00D517FF"/>
    <w:rsid w:val="00D57F36"/>
    <w:rsid w:val="00D609C5"/>
    <w:rsid w:val="00D626A4"/>
    <w:rsid w:val="00D63734"/>
    <w:rsid w:val="00D65771"/>
    <w:rsid w:val="00D66E24"/>
    <w:rsid w:val="00D81D96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3EEE"/>
    <w:rsid w:val="00DD5717"/>
    <w:rsid w:val="00DE3F0E"/>
    <w:rsid w:val="00DE7E50"/>
    <w:rsid w:val="00DE7EDE"/>
    <w:rsid w:val="00DF302D"/>
    <w:rsid w:val="00DF44A6"/>
    <w:rsid w:val="00DF4509"/>
    <w:rsid w:val="00DF7242"/>
    <w:rsid w:val="00E00750"/>
    <w:rsid w:val="00E01620"/>
    <w:rsid w:val="00E01E5A"/>
    <w:rsid w:val="00E02A40"/>
    <w:rsid w:val="00E07527"/>
    <w:rsid w:val="00E133B9"/>
    <w:rsid w:val="00E16907"/>
    <w:rsid w:val="00E202C7"/>
    <w:rsid w:val="00E2144C"/>
    <w:rsid w:val="00E236F1"/>
    <w:rsid w:val="00E238B7"/>
    <w:rsid w:val="00E25B3B"/>
    <w:rsid w:val="00E300E9"/>
    <w:rsid w:val="00E321FD"/>
    <w:rsid w:val="00E32C43"/>
    <w:rsid w:val="00E33F76"/>
    <w:rsid w:val="00E3570C"/>
    <w:rsid w:val="00E37798"/>
    <w:rsid w:val="00E4219B"/>
    <w:rsid w:val="00E42B9A"/>
    <w:rsid w:val="00E43524"/>
    <w:rsid w:val="00E45BD0"/>
    <w:rsid w:val="00E46B0A"/>
    <w:rsid w:val="00E52D83"/>
    <w:rsid w:val="00E55DB1"/>
    <w:rsid w:val="00E57A4D"/>
    <w:rsid w:val="00E6104A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A0E36"/>
    <w:rsid w:val="00EA2F78"/>
    <w:rsid w:val="00EB0C3C"/>
    <w:rsid w:val="00EB1400"/>
    <w:rsid w:val="00EB2E12"/>
    <w:rsid w:val="00EB4DF7"/>
    <w:rsid w:val="00EB65BD"/>
    <w:rsid w:val="00EC082D"/>
    <w:rsid w:val="00EC4E84"/>
    <w:rsid w:val="00EC7815"/>
    <w:rsid w:val="00ED15E7"/>
    <w:rsid w:val="00ED3C4F"/>
    <w:rsid w:val="00ED78C5"/>
    <w:rsid w:val="00ED7BCD"/>
    <w:rsid w:val="00EE6825"/>
    <w:rsid w:val="00EE7111"/>
    <w:rsid w:val="00EF20E7"/>
    <w:rsid w:val="00EF4DD4"/>
    <w:rsid w:val="00EF59CA"/>
    <w:rsid w:val="00EF69D6"/>
    <w:rsid w:val="00F0026F"/>
    <w:rsid w:val="00F0683A"/>
    <w:rsid w:val="00F10916"/>
    <w:rsid w:val="00F17AE1"/>
    <w:rsid w:val="00F210F7"/>
    <w:rsid w:val="00F269E2"/>
    <w:rsid w:val="00F27043"/>
    <w:rsid w:val="00F432DF"/>
    <w:rsid w:val="00F46ABB"/>
    <w:rsid w:val="00F5051A"/>
    <w:rsid w:val="00F50D7A"/>
    <w:rsid w:val="00F50E65"/>
    <w:rsid w:val="00F51FB4"/>
    <w:rsid w:val="00F54941"/>
    <w:rsid w:val="00F55425"/>
    <w:rsid w:val="00F622B3"/>
    <w:rsid w:val="00F66626"/>
    <w:rsid w:val="00F669EA"/>
    <w:rsid w:val="00F7031B"/>
    <w:rsid w:val="00F704C0"/>
    <w:rsid w:val="00F710B5"/>
    <w:rsid w:val="00F751DF"/>
    <w:rsid w:val="00F83009"/>
    <w:rsid w:val="00F85AA8"/>
    <w:rsid w:val="00F87266"/>
    <w:rsid w:val="00F903B7"/>
    <w:rsid w:val="00F91004"/>
    <w:rsid w:val="00F919D9"/>
    <w:rsid w:val="00F932C8"/>
    <w:rsid w:val="00F9380F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3719"/>
    <w:rsid w:val="00FD7B45"/>
    <w:rsid w:val="00FE052A"/>
    <w:rsid w:val="00FE1F14"/>
    <w:rsid w:val="00FE2B4D"/>
    <w:rsid w:val="00FF068B"/>
    <w:rsid w:val="00FF08E9"/>
    <w:rsid w:val="00FF0AA6"/>
    <w:rsid w:val="00FF0AF4"/>
    <w:rsid w:val="00FF31A8"/>
    <w:rsid w:val="00FF5EAE"/>
    <w:rsid w:val="00FF5F6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04DB8-6103-4829-8661-50F40B2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"/>
    <w:locked/>
    <w:rPr>
      <w:rFonts w:ascii="ITC Kabel Book" w:hAnsi="ITC Kabel Book" w:cs="Times New Roman"/>
      <w:sz w:val="4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rFonts w:ascii="ITC Kabel Book" w:hAnsi="ITC Kabel Book" w:cs="Times New Roman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Normal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Pr>
      <w:b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ITC Kabel Book" w:hAnsi="ITC Kabel Book" w:cs="Times New Roman"/>
      <w:snapToGrid w:val="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Normal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Normal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Normal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Normal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Normal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Normal"/>
    <w:rPr>
      <w:b/>
      <w:sz w:val="24"/>
      <w:szCs w:val="24"/>
    </w:rPr>
  </w:style>
  <w:style w:type="paragraph" w:customStyle="1" w:styleId="PRImmediateRelease">
    <w:name w:val="PR_Immediate Release"/>
    <w:basedOn w:val="Heading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pPr>
      <w:spacing w:line="220" w:lineRule="atLeast"/>
      <w:ind w:left="0"/>
    </w:pPr>
  </w:style>
  <w:style w:type="paragraph" w:customStyle="1" w:styleId="PRSubheadline">
    <w:name w:val="PR_Subheadline"/>
    <w:basedOn w:val="Normal"/>
    <w:rPr>
      <w:sz w:val="22"/>
      <w:szCs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"/>
    <w:semiHidden/>
    <w:rPr>
      <w:snapToGrid/>
      <w:sz w:val="40"/>
      <w:lang w:val="x-none" w:eastAsia="x-none"/>
    </w:rPr>
  </w:style>
  <w:style w:type="character" w:customStyle="1" w:styleId="Heading3Char">
    <w:name w:val="Heading 3 Char"/>
    <w:link w:val="Heading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Normal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Normal"/>
    <w:next w:val="Normal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Heading3Char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Normal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Normal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  <w:rPr>
      <w:snapToGrid/>
      <w:lang w:eastAsia="x-none"/>
    </w:rPr>
  </w:style>
  <w:style w:type="character" w:customStyle="1" w:styleId="BodyTextIndentChar">
    <w:name w:val="Body Text Indent Char"/>
    <w:link w:val="BodyTextIndent"/>
    <w:uiPriority w:val="99"/>
    <w:locked/>
    <w:rPr>
      <w:rFonts w:ascii="ITC Kabel Book" w:hAnsi="ITC Kabel Book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Normal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Normal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gcolor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gcolor.com/de/produkte/opencol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witter.com/gmgcolo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mgcolor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4E3E-225E-4C42-B885-E49F214A8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4C684-2BD0-4833-B202-E79222F42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D14F7-4CDC-4771-91EA-926F24601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9BA27-7124-43A1-AF88-DC909581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4429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cp:lastModifiedBy>Imogen Woods</cp:lastModifiedBy>
  <cp:revision>38</cp:revision>
  <cp:lastPrinted>2018-08-14T12:57:00Z</cp:lastPrinted>
  <dcterms:created xsi:type="dcterms:W3CDTF">2018-08-14T08:21:00Z</dcterms:created>
  <dcterms:modified xsi:type="dcterms:W3CDTF">2018-10-18T16:11:00Z</dcterms:modified>
</cp:coreProperties>
</file>