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5DA6" w14:textId="30FB53F4" w:rsidR="00065CD4"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bookmarkStart w:id="0" w:name="_GoBack"/>
      <w:bookmarkEnd w:id="0"/>
      <w:r>
        <w:rPr>
          <w:noProof/>
          <w:lang w:val="en-GB" w:eastAsia="en-GB"/>
        </w:rPr>
        <w:drawing>
          <wp:inline distT="0" distB="0" distL="0" distR="0" wp14:anchorId="22261775" wp14:editId="07C523CE">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4B1F79C7" w14:textId="77777777" w:rsidR="00065CD4"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5528E1"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F5FBDC3" wp14:editId="6D692638">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4E9E2197" w14:textId="77777777" w:rsidR="00065CD4"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E8790C"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556919C8" w14:textId="728FA3D6"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 xml:space="preserve">Ellie </w:t>
      </w:r>
      <w:r w:rsidR="00F05515">
        <w:rPr>
          <w:rFonts w:ascii="Arial Narrow" w:hAnsi="Arial Narrow" w:cs="Arial"/>
          <w:color w:val="auto"/>
          <w:sz w:val="24"/>
          <w:szCs w:val="24"/>
        </w:rPr>
        <w:t>Martin</w:t>
      </w:r>
      <w:r>
        <w:rPr>
          <w:rFonts w:ascii="Arial Narrow" w:hAnsi="Arial Narrow" w:cs="Arial"/>
          <w:color w:val="auto"/>
          <w:sz w:val="24"/>
          <w:szCs w:val="24"/>
        </w:rPr>
        <w:t>/Greg Mills</w:t>
      </w:r>
    </w:p>
    <w:p w14:paraId="3C0EDEF4"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218C138E"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15D6EB0E" w14:textId="47353644" w:rsidR="00065CD4" w:rsidRPr="00E8790C" w:rsidRDefault="00870BB9" w:rsidP="005A23A8">
      <w:pPr>
        <w:pStyle w:val="bodytext0"/>
        <w:spacing w:before="0" w:beforeAutospacing="0" w:after="0" w:afterAutospacing="0"/>
        <w:rPr>
          <w:rFonts w:ascii="Arial Narrow" w:hAnsi="Arial Narrow" w:cs="Arial"/>
          <w:color w:val="auto"/>
          <w:sz w:val="24"/>
          <w:szCs w:val="24"/>
        </w:rPr>
      </w:pPr>
      <w:hyperlink r:id="rId12" w:history="1">
        <w:r w:rsidR="00F05515" w:rsidRPr="003002C3">
          <w:rPr>
            <w:rStyle w:val="Hyperlink"/>
            <w:rFonts w:ascii="Arial Narrow" w:hAnsi="Arial Narrow" w:cs="Arial"/>
            <w:sz w:val="24"/>
            <w:szCs w:val="24"/>
          </w:rPr>
          <w:t>emartin@adcomms.co.uk</w:t>
        </w:r>
      </w:hyperlink>
    </w:p>
    <w:p w14:paraId="710441F6" w14:textId="77777777" w:rsidR="00065CD4" w:rsidRPr="00E8790C" w:rsidRDefault="00870BB9" w:rsidP="005A23A8">
      <w:pPr>
        <w:pStyle w:val="bodytext0"/>
        <w:spacing w:before="0" w:beforeAutospacing="0" w:after="0" w:afterAutospacing="0"/>
        <w:rPr>
          <w:rFonts w:ascii="Arial Narrow" w:hAnsi="Arial Narrow" w:cs="Arial"/>
          <w:color w:val="auto"/>
          <w:sz w:val="24"/>
          <w:szCs w:val="24"/>
        </w:rPr>
      </w:pPr>
      <w:hyperlink r:id="rId13" w:history="1">
        <w:r w:rsidR="00065CD4" w:rsidRPr="009E74E7">
          <w:rPr>
            <w:rStyle w:val="Hyperlink"/>
            <w:rFonts w:ascii="Arial Narrow" w:hAnsi="Arial Narrow" w:cs="Arial"/>
            <w:sz w:val="24"/>
            <w:szCs w:val="24"/>
          </w:rPr>
          <w:t>gmills@adcomms.co.uk</w:t>
        </w:r>
      </w:hyperlink>
    </w:p>
    <w:p w14:paraId="4B637E51" w14:textId="77777777" w:rsidR="00065CD4" w:rsidRDefault="00065CD4" w:rsidP="00C812F9">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b/>
      </w:r>
      <w:r w:rsidRPr="00E8790C">
        <w:rPr>
          <w:rFonts w:ascii="Arial Narrow" w:hAnsi="Arial Narrow" w:cs="Arial"/>
          <w:color w:val="auto"/>
          <w:sz w:val="24"/>
          <w:szCs w:val="24"/>
        </w:rPr>
        <w:tab/>
      </w:r>
    </w:p>
    <w:p w14:paraId="42F1BE52" w14:textId="77777777" w:rsidR="00065CD4" w:rsidRDefault="00065CD4" w:rsidP="008C08A0"/>
    <w:p w14:paraId="7864C47A" w14:textId="514541EF" w:rsidR="00065CD4" w:rsidRPr="00C10FC0" w:rsidRDefault="00F640E4" w:rsidP="00773D1E">
      <w:pPr>
        <w:jc w:val="center"/>
      </w:pPr>
      <w:r>
        <w:rPr>
          <w:rFonts w:ascii="Arial Black" w:hAnsi="Arial Black"/>
          <w:sz w:val="28"/>
        </w:rPr>
        <w:t>Sun Chemical joins CEFLEX t</w:t>
      </w:r>
      <w:r w:rsidR="00921654">
        <w:rPr>
          <w:rFonts w:ascii="Arial Black" w:hAnsi="Arial Black"/>
          <w:sz w:val="28"/>
        </w:rPr>
        <w:t>o support development of</w:t>
      </w:r>
      <w:r>
        <w:rPr>
          <w:rFonts w:ascii="Arial Black" w:hAnsi="Arial Black"/>
          <w:sz w:val="28"/>
        </w:rPr>
        <w:t xml:space="preserve"> </w:t>
      </w:r>
      <w:r w:rsidR="00073134">
        <w:rPr>
          <w:rFonts w:ascii="Arial Black" w:hAnsi="Arial Black"/>
          <w:sz w:val="28"/>
        </w:rPr>
        <w:t xml:space="preserve">a </w:t>
      </w:r>
      <w:r>
        <w:rPr>
          <w:rFonts w:ascii="Arial Black" w:hAnsi="Arial Black"/>
          <w:sz w:val="28"/>
        </w:rPr>
        <w:t>circular economy for flexible packaging</w:t>
      </w:r>
    </w:p>
    <w:p w14:paraId="4CD27E8C" w14:textId="77777777" w:rsidR="00065CD4" w:rsidRPr="00C10FC0" w:rsidRDefault="00065CD4" w:rsidP="00773D1E">
      <w:pPr>
        <w:jc w:val="center"/>
        <w:rPr>
          <w:rFonts w:ascii="Arial Black" w:hAnsi="Arial Black"/>
          <w:i/>
          <w:sz w:val="22"/>
          <w:szCs w:val="22"/>
        </w:rPr>
      </w:pPr>
    </w:p>
    <w:p w14:paraId="4ADE9316" w14:textId="5C275AAA" w:rsidR="00C26BB0" w:rsidRDefault="00A71D81" w:rsidP="00182449">
      <w:pPr>
        <w:rPr>
          <w:rFonts w:ascii="Arial Narrow" w:hAnsi="Arial Narrow" w:cs="Arial"/>
        </w:rPr>
      </w:pPr>
      <w:r w:rsidRPr="00A71D81">
        <w:rPr>
          <w:rFonts w:ascii="Arial Narrow" w:hAnsi="Arial Narrow" w:cs="Calibri"/>
          <w:b/>
        </w:rPr>
        <w:t>Wexham Springs, UK</w:t>
      </w:r>
      <w:r w:rsidR="00065CD4" w:rsidRPr="00C10FC0">
        <w:rPr>
          <w:rFonts w:ascii="Arial Narrow" w:hAnsi="Arial Narrow"/>
          <w:b/>
        </w:rPr>
        <w:t xml:space="preserve"> </w:t>
      </w:r>
      <w:r w:rsidR="00065CD4" w:rsidRPr="00C10FC0">
        <w:rPr>
          <w:rFonts w:ascii="Arial Narrow" w:hAnsi="Arial Narrow"/>
        </w:rPr>
        <w:t xml:space="preserve">– </w:t>
      </w:r>
      <w:r w:rsidR="004830A1">
        <w:rPr>
          <w:rFonts w:ascii="Arial Narrow" w:hAnsi="Arial Narrow"/>
          <w:b/>
        </w:rPr>
        <w:t>26</w:t>
      </w:r>
      <w:r w:rsidR="004830A1" w:rsidRPr="00C10FC0">
        <w:rPr>
          <w:rFonts w:ascii="Arial Narrow" w:hAnsi="Arial Narrow"/>
          <w:b/>
        </w:rPr>
        <w:t xml:space="preserve"> </w:t>
      </w:r>
      <w:r w:rsidR="008553E7">
        <w:rPr>
          <w:rFonts w:ascii="Arial Narrow" w:hAnsi="Arial Narrow"/>
          <w:b/>
        </w:rPr>
        <w:t>March</w:t>
      </w:r>
      <w:r w:rsidR="00065CD4" w:rsidRPr="00C10FC0">
        <w:rPr>
          <w:rFonts w:ascii="Arial Narrow" w:hAnsi="Arial Narrow"/>
          <w:b/>
        </w:rPr>
        <w:t xml:space="preserve"> 201</w:t>
      </w:r>
      <w:r w:rsidR="00EF3566" w:rsidRPr="00C10FC0">
        <w:rPr>
          <w:rFonts w:ascii="Arial Narrow" w:hAnsi="Arial Narrow"/>
          <w:b/>
        </w:rPr>
        <w:t>9</w:t>
      </w:r>
      <w:r w:rsidR="00065CD4" w:rsidRPr="00C10FC0">
        <w:rPr>
          <w:rFonts w:ascii="Arial Narrow" w:hAnsi="Arial Narrow"/>
          <w:b/>
        </w:rPr>
        <w:t xml:space="preserve">: </w:t>
      </w:r>
      <w:r w:rsidR="00065CD4" w:rsidRPr="00F05515">
        <w:rPr>
          <w:rFonts w:ascii="Arial Narrow" w:hAnsi="Arial Narrow" w:cs="Arial"/>
        </w:rPr>
        <w:t xml:space="preserve">Sun Chemical </w:t>
      </w:r>
      <w:r w:rsidR="00AD78ED">
        <w:rPr>
          <w:rFonts w:ascii="Arial Narrow" w:hAnsi="Arial Narrow" w:cs="Arial"/>
        </w:rPr>
        <w:t>h</w:t>
      </w:r>
      <w:r w:rsidR="00073134">
        <w:rPr>
          <w:rFonts w:ascii="Arial Narrow" w:hAnsi="Arial Narrow" w:cs="Arial"/>
        </w:rPr>
        <w:t>as joined</w:t>
      </w:r>
      <w:r w:rsidR="00AD78ED">
        <w:rPr>
          <w:rFonts w:ascii="Arial Narrow" w:hAnsi="Arial Narrow" w:cs="Arial"/>
        </w:rPr>
        <w:t xml:space="preserve"> CEFLEX, </w:t>
      </w:r>
      <w:r w:rsidR="00693A9F">
        <w:rPr>
          <w:rFonts w:ascii="Arial Narrow" w:hAnsi="Arial Narrow" w:cs="Arial"/>
        </w:rPr>
        <w:t>the</w:t>
      </w:r>
      <w:r w:rsidR="00693A9F" w:rsidRPr="00693A9F">
        <w:rPr>
          <w:rFonts w:ascii="Arial Narrow" w:hAnsi="Arial Narrow" w:cs="Arial"/>
        </w:rPr>
        <w:t xml:space="preserve"> collaborative European consortium of companies and associations representing the entire </w:t>
      </w:r>
      <w:r w:rsidR="00986516">
        <w:rPr>
          <w:rFonts w:ascii="Arial Narrow" w:hAnsi="Arial Narrow" w:cs="Arial"/>
        </w:rPr>
        <w:t xml:space="preserve">flexible packaging </w:t>
      </w:r>
      <w:r w:rsidR="00693A9F" w:rsidRPr="00693A9F">
        <w:rPr>
          <w:rFonts w:ascii="Arial Narrow" w:hAnsi="Arial Narrow" w:cs="Arial"/>
        </w:rPr>
        <w:t>value chain</w:t>
      </w:r>
      <w:r w:rsidR="00C23797">
        <w:rPr>
          <w:rFonts w:ascii="Arial Narrow" w:hAnsi="Arial Narrow" w:cs="Arial"/>
        </w:rPr>
        <w:t>. This important initiative will facilitate increasing amounts of consumer flexible packaging to be recycled</w:t>
      </w:r>
      <w:r w:rsidR="003E7A22">
        <w:rPr>
          <w:rFonts w:ascii="Arial Narrow" w:hAnsi="Arial Narrow" w:cs="Arial"/>
        </w:rPr>
        <w:t xml:space="preserve"> and </w:t>
      </w:r>
      <w:r w:rsidR="00D5521C">
        <w:rPr>
          <w:rFonts w:ascii="Arial Narrow" w:hAnsi="Arial Narrow" w:cs="Arial"/>
        </w:rPr>
        <w:t xml:space="preserve">Sun Chemical </w:t>
      </w:r>
      <w:r w:rsidR="00404F1D">
        <w:rPr>
          <w:rFonts w:ascii="Arial Narrow" w:hAnsi="Arial Narrow" w:cs="Arial"/>
        </w:rPr>
        <w:t>is looking forward to actively contributing and leveraging its global R&amp;D resources in supporting th</w:t>
      </w:r>
      <w:r w:rsidR="003E7A22">
        <w:rPr>
          <w:rFonts w:ascii="Arial Narrow" w:hAnsi="Arial Narrow" w:cs="Arial"/>
        </w:rPr>
        <w:t>e</w:t>
      </w:r>
      <w:r w:rsidR="00404F1D">
        <w:rPr>
          <w:rFonts w:ascii="Arial Narrow" w:hAnsi="Arial Narrow" w:cs="Arial"/>
        </w:rPr>
        <w:t xml:space="preserve"> project t</w:t>
      </w:r>
      <w:r w:rsidR="003E7A22">
        <w:rPr>
          <w:rFonts w:ascii="Arial Narrow" w:hAnsi="Arial Narrow" w:cs="Arial"/>
        </w:rPr>
        <w:t>o</w:t>
      </w:r>
      <w:r w:rsidR="00404F1D">
        <w:rPr>
          <w:rFonts w:ascii="Arial Narrow" w:hAnsi="Arial Narrow" w:cs="Arial"/>
        </w:rPr>
        <w:t xml:space="preserve"> shape the flexible packaging market for the future.</w:t>
      </w:r>
    </w:p>
    <w:p w14:paraId="1FB94311" w14:textId="77777777" w:rsidR="00C26BB0" w:rsidRDefault="00C26BB0" w:rsidP="00182449">
      <w:pPr>
        <w:rPr>
          <w:rFonts w:ascii="Arial Narrow" w:hAnsi="Arial Narrow" w:cs="Arial"/>
        </w:rPr>
      </w:pPr>
    </w:p>
    <w:p w14:paraId="57F4B2AB" w14:textId="021786A6" w:rsidR="00127A78" w:rsidRDefault="00C26BB0" w:rsidP="00182449">
      <w:pPr>
        <w:rPr>
          <w:rFonts w:ascii="Arial Narrow" w:hAnsi="Arial Narrow" w:cs="Arial"/>
        </w:rPr>
      </w:pPr>
      <w:r>
        <w:rPr>
          <w:rFonts w:ascii="Arial Narrow" w:hAnsi="Arial Narrow" w:cs="Arial"/>
        </w:rPr>
        <w:t>“</w:t>
      </w:r>
      <w:r w:rsidR="00CD7C7E">
        <w:rPr>
          <w:rFonts w:ascii="Arial Narrow" w:hAnsi="Arial Narrow" w:cs="Arial"/>
        </w:rPr>
        <w:t xml:space="preserve">Developing more sustainable </w:t>
      </w:r>
      <w:r w:rsidR="00404F1D">
        <w:rPr>
          <w:rFonts w:ascii="Arial Narrow" w:hAnsi="Arial Narrow" w:cs="Arial"/>
        </w:rPr>
        <w:t xml:space="preserve">flexible </w:t>
      </w:r>
      <w:r w:rsidR="00CD7C7E">
        <w:rPr>
          <w:rFonts w:ascii="Arial Narrow" w:hAnsi="Arial Narrow" w:cs="Arial"/>
        </w:rPr>
        <w:t xml:space="preserve">packaging </w:t>
      </w:r>
      <w:r w:rsidR="00404F1D">
        <w:rPr>
          <w:rFonts w:ascii="Arial Narrow" w:hAnsi="Arial Narrow" w:cs="Arial"/>
        </w:rPr>
        <w:t xml:space="preserve">solutions designed for </w:t>
      </w:r>
      <w:r w:rsidR="00CD7C7E">
        <w:rPr>
          <w:rFonts w:ascii="Arial Narrow" w:hAnsi="Arial Narrow" w:cs="Arial"/>
        </w:rPr>
        <w:t>a circular economy ha</w:t>
      </w:r>
      <w:r w:rsidR="00404F1D">
        <w:rPr>
          <w:rFonts w:ascii="Arial Narrow" w:hAnsi="Arial Narrow" w:cs="Arial"/>
        </w:rPr>
        <w:t>s</w:t>
      </w:r>
      <w:r w:rsidR="00CD7C7E">
        <w:rPr>
          <w:rFonts w:ascii="Arial Narrow" w:hAnsi="Arial Narrow" w:cs="Arial"/>
        </w:rPr>
        <w:t xml:space="preserve"> become</w:t>
      </w:r>
      <w:r w:rsidR="00404F1D">
        <w:rPr>
          <w:rFonts w:ascii="Arial Narrow" w:hAnsi="Arial Narrow" w:cs="Arial"/>
        </w:rPr>
        <w:t xml:space="preserve"> a</w:t>
      </w:r>
      <w:r w:rsidR="00CD7C7E">
        <w:rPr>
          <w:rFonts w:ascii="Arial Narrow" w:hAnsi="Arial Narrow" w:cs="Arial"/>
        </w:rPr>
        <w:t xml:space="preserve"> global issue</w:t>
      </w:r>
      <w:r w:rsidR="00111DA1">
        <w:rPr>
          <w:rFonts w:ascii="Arial Narrow" w:hAnsi="Arial Narrow" w:cs="Arial"/>
        </w:rPr>
        <w:t>. A</w:t>
      </w:r>
      <w:r w:rsidR="00CD7C7E">
        <w:rPr>
          <w:rFonts w:ascii="Arial Narrow" w:hAnsi="Arial Narrow" w:cs="Arial"/>
        </w:rPr>
        <w:t xml:space="preserve"> collaborative initiative</w:t>
      </w:r>
      <w:r w:rsidR="00111DA1">
        <w:rPr>
          <w:rFonts w:ascii="Arial Narrow" w:hAnsi="Arial Narrow" w:cs="Arial"/>
        </w:rPr>
        <w:t xml:space="preserve"> encompassing</w:t>
      </w:r>
      <w:r w:rsidR="008C7818">
        <w:rPr>
          <w:rFonts w:ascii="Arial Narrow" w:hAnsi="Arial Narrow" w:cs="Arial"/>
        </w:rPr>
        <w:t xml:space="preserve"> the whole industry, as</w:t>
      </w:r>
      <w:r w:rsidR="00CD7C7E">
        <w:rPr>
          <w:rFonts w:ascii="Arial Narrow" w:hAnsi="Arial Narrow" w:cs="Arial"/>
        </w:rPr>
        <w:t xml:space="preserve"> CEFLEX</w:t>
      </w:r>
      <w:r w:rsidR="008C7818">
        <w:rPr>
          <w:rFonts w:ascii="Arial Narrow" w:hAnsi="Arial Narrow" w:cs="Arial"/>
        </w:rPr>
        <w:t xml:space="preserve"> does, </w:t>
      </w:r>
      <w:r w:rsidR="00111DA1">
        <w:rPr>
          <w:rFonts w:ascii="Arial Narrow" w:hAnsi="Arial Narrow" w:cs="Arial"/>
        </w:rPr>
        <w:t xml:space="preserve">therefore </w:t>
      </w:r>
      <w:r w:rsidR="0033642A">
        <w:rPr>
          <w:rFonts w:ascii="Arial Narrow" w:hAnsi="Arial Narrow" w:cs="Arial"/>
        </w:rPr>
        <w:t>has the best chance of making a real impact on resolving these issues</w:t>
      </w:r>
      <w:r w:rsidR="00111DA1">
        <w:rPr>
          <w:rFonts w:ascii="Arial Narrow" w:hAnsi="Arial Narrow" w:cs="Arial"/>
        </w:rPr>
        <w:t xml:space="preserve"> and we are keen to play our part in this important joint venture</w:t>
      </w:r>
      <w:r w:rsidR="00A71D81">
        <w:rPr>
          <w:rFonts w:ascii="Arial Narrow" w:hAnsi="Arial Narrow" w:cs="Arial"/>
        </w:rPr>
        <w:t xml:space="preserve">,” comments </w:t>
      </w:r>
      <w:r w:rsidR="00880D2E" w:rsidRPr="00880D2E">
        <w:rPr>
          <w:rFonts w:ascii="Arial Narrow" w:hAnsi="Arial Narrow" w:cs="Arial"/>
        </w:rPr>
        <w:t>Felipe Mellado, Chief Marketing Officer, Sun Chemical</w:t>
      </w:r>
      <w:r w:rsidR="0033642A">
        <w:rPr>
          <w:rFonts w:ascii="Arial Narrow" w:hAnsi="Arial Narrow" w:cs="Arial"/>
        </w:rPr>
        <w:t>.</w:t>
      </w:r>
      <w:r w:rsidR="008C7818">
        <w:rPr>
          <w:rFonts w:ascii="Arial Narrow" w:hAnsi="Arial Narrow" w:cs="Arial"/>
        </w:rPr>
        <w:t xml:space="preserve"> </w:t>
      </w:r>
      <w:r w:rsidR="0033642A">
        <w:rPr>
          <w:rFonts w:ascii="Arial Narrow" w:hAnsi="Arial Narrow" w:cs="Arial"/>
        </w:rPr>
        <w:t>“</w:t>
      </w:r>
      <w:r>
        <w:rPr>
          <w:rFonts w:ascii="Arial Narrow" w:hAnsi="Arial Narrow" w:cs="Arial"/>
        </w:rPr>
        <w:t xml:space="preserve">As </w:t>
      </w:r>
      <w:r w:rsidR="00BB0056" w:rsidRPr="00BB0056">
        <w:rPr>
          <w:rFonts w:ascii="Arial Narrow" w:hAnsi="Arial Narrow" w:cs="Arial"/>
        </w:rPr>
        <w:t>a global supplier of both printin</w:t>
      </w:r>
      <w:r w:rsidR="00BB0056">
        <w:rPr>
          <w:rFonts w:ascii="Arial Narrow" w:hAnsi="Arial Narrow" w:cs="Arial"/>
        </w:rPr>
        <w:t xml:space="preserve">g inks and lamination adhesives, </w:t>
      </w:r>
      <w:r w:rsidR="00127A78" w:rsidRPr="00127A78">
        <w:rPr>
          <w:rFonts w:ascii="Arial Narrow" w:hAnsi="Arial Narrow" w:cs="Arial"/>
        </w:rPr>
        <w:t>Sun</w:t>
      </w:r>
      <w:r w:rsidR="00BB0056">
        <w:rPr>
          <w:rFonts w:ascii="Arial Narrow" w:hAnsi="Arial Narrow" w:cs="Arial"/>
        </w:rPr>
        <w:t xml:space="preserve"> </w:t>
      </w:r>
      <w:r w:rsidR="00127A78" w:rsidRPr="00127A78">
        <w:rPr>
          <w:rFonts w:ascii="Arial Narrow" w:hAnsi="Arial Narrow" w:cs="Arial"/>
        </w:rPr>
        <w:t>Chemical is uniquely placed to contri</w:t>
      </w:r>
      <w:r w:rsidR="000A692D">
        <w:rPr>
          <w:rFonts w:ascii="Arial Narrow" w:hAnsi="Arial Narrow" w:cs="Arial"/>
        </w:rPr>
        <w:t>bute to the development of next-</w:t>
      </w:r>
      <w:r w:rsidR="00127A78" w:rsidRPr="00127A78">
        <w:rPr>
          <w:rFonts w:ascii="Arial Narrow" w:hAnsi="Arial Narrow" w:cs="Arial"/>
        </w:rPr>
        <w:t>generation structures and products that will drive th</w:t>
      </w:r>
      <w:r w:rsidR="000A692D">
        <w:rPr>
          <w:rFonts w:ascii="Arial Narrow" w:hAnsi="Arial Narrow" w:cs="Arial"/>
        </w:rPr>
        <w:t>e circular economy for flexible</w:t>
      </w:r>
      <w:r w:rsidR="00654D36">
        <w:rPr>
          <w:rFonts w:ascii="Arial Narrow" w:hAnsi="Arial Narrow" w:cs="Arial"/>
        </w:rPr>
        <w:t xml:space="preserve"> packaging</w:t>
      </w:r>
      <w:r w:rsidR="00127A78" w:rsidRPr="00127A78">
        <w:rPr>
          <w:rFonts w:ascii="Arial Narrow" w:hAnsi="Arial Narrow" w:cs="Arial"/>
        </w:rPr>
        <w:t xml:space="preserve"> and assist in our customers meeting their sustainability goals</w:t>
      </w:r>
      <w:r w:rsidR="00654D36">
        <w:rPr>
          <w:rFonts w:ascii="Arial Narrow" w:hAnsi="Arial Narrow" w:cs="Arial"/>
        </w:rPr>
        <w:t>.”</w:t>
      </w:r>
    </w:p>
    <w:p w14:paraId="38094E16" w14:textId="77777777" w:rsidR="00127A78" w:rsidRDefault="00127A78" w:rsidP="00182449">
      <w:pPr>
        <w:rPr>
          <w:rFonts w:ascii="Arial Narrow" w:hAnsi="Arial Narrow" w:cs="Arial"/>
        </w:rPr>
      </w:pPr>
    </w:p>
    <w:p w14:paraId="55CBEDA3" w14:textId="039C9428" w:rsidR="00DB3D57" w:rsidRDefault="00DB3D57" w:rsidP="00182449">
      <w:pPr>
        <w:rPr>
          <w:rFonts w:ascii="Arial Narrow" w:hAnsi="Arial Narrow" w:cs="Arial"/>
        </w:rPr>
      </w:pPr>
      <w:r>
        <w:rPr>
          <w:rFonts w:ascii="Arial Narrow" w:hAnsi="Arial Narrow" w:cs="Arial"/>
        </w:rPr>
        <w:t>R</w:t>
      </w:r>
      <w:r w:rsidR="004C5732">
        <w:rPr>
          <w:rFonts w:ascii="Arial Narrow" w:hAnsi="Arial Narrow" w:cs="Arial"/>
        </w:rPr>
        <w:t>epresenting</w:t>
      </w:r>
      <w:r w:rsidR="00B8052E" w:rsidRPr="00B8052E">
        <w:rPr>
          <w:rFonts w:ascii="Arial Narrow" w:hAnsi="Arial Narrow" w:cs="Arial"/>
        </w:rPr>
        <w:t xml:space="preserve"> the full spectrum of the value chain, from materials producers to converters and printers, to brand owners, retailers and specialised recycling companies, the membership of CEFLEX has grown to over 100 </w:t>
      </w:r>
      <w:r w:rsidR="00B8052E">
        <w:rPr>
          <w:rFonts w:ascii="Arial Narrow" w:hAnsi="Arial Narrow" w:cs="Arial"/>
        </w:rPr>
        <w:t>companies and organ</w:t>
      </w:r>
      <w:r w:rsidR="00B8052E">
        <w:rPr>
          <w:rFonts w:ascii="Arial Narrow" w:hAnsi="Arial Narrow" w:cs="Arial"/>
        </w:rPr>
        <w:lastRenderedPageBreak/>
        <w:t xml:space="preserve">isations since the consortium was established. </w:t>
      </w:r>
      <w:r w:rsidR="00921654" w:rsidRPr="00921654">
        <w:rPr>
          <w:rFonts w:ascii="Arial Narrow" w:hAnsi="Arial Narrow" w:cs="Arial"/>
        </w:rPr>
        <w:t>Sun Chemical</w:t>
      </w:r>
      <w:r w:rsidR="00921654">
        <w:rPr>
          <w:rFonts w:ascii="Arial Narrow" w:hAnsi="Arial Narrow" w:cs="Arial"/>
        </w:rPr>
        <w:t xml:space="preserve"> is f</w:t>
      </w:r>
      <w:r w:rsidR="00CF040C">
        <w:rPr>
          <w:rFonts w:ascii="Arial Narrow" w:hAnsi="Arial Narrow" w:cs="Arial"/>
        </w:rPr>
        <w:t>ully committed to supporting the CEFL</w:t>
      </w:r>
      <w:r w:rsidR="00921654">
        <w:rPr>
          <w:rFonts w:ascii="Arial Narrow" w:hAnsi="Arial Narrow" w:cs="Arial"/>
        </w:rPr>
        <w:t>EX vision of establishing</w:t>
      </w:r>
      <w:r w:rsidR="00CF040C" w:rsidRPr="00CF040C">
        <w:rPr>
          <w:rFonts w:ascii="Arial Narrow" w:hAnsi="Arial Narrow" w:cs="Arial"/>
        </w:rPr>
        <w:t xml:space="preserve"> a comprehensive sustainability and circular economy roadmap for flexible packaging</w:t>
      </w:r>
      <w:r w:rsidR="00B07EE0">
        <w:rPr>
          <w:rFonts w:ascii="Arial Narrow" w:hAnsi="Arial Narrow" w:cs="Arial"/>
        </w:rPr>
        <w:t xml:space="preserve"> by 2020. The roadmap will include</w:t>
      </w:r>
      <w:r w:rsidR="00CF040C" w:rsidRPr="00CF040C">
        <w:rPr>
          <w:rFonts w:ascii="Arial Narrow" w:hAnsi="Arial Narrow" w:cs="Arial"/>
        </w:rPr>
        <w:t xml:space="preserve"> widely recognised design guidelines and a robust approach to measure, demonstrate and communicate the significant value flexible packaging adds to the circular e</w:t>
      </w:r>
      <w:r w:rsidR="00CF040C">
        <w:rPr>
          <w:rFonts w:ascii="Arial Narrow" w:hAnsi="Arial Narrow" w:cs="Arial"/>
        </w:rPr>
        <w:t>conomy</w:t>
      </w:r>
      <w:r w:rsidR="00B07EE0">
        <w:rPr>
          <w:rFonts w:ascii="Arial Narrow" w:hAnsi="Arial Narrow" w:cs="Arial"/>
        </w:rPr>
        <w:t xml:space="preserve">. By 2025 CEFLEX </w:t>
      </w:r>
      <w:r w:rsidR="00433CCE">
        <w:rPr>
          <w:rFonts w:ascii="Arial Narrow" w:hAnsi="Arial Narrow" w:cs="Arial"/>
        </w:rPr>
        <w:t>will support the development of</w:t>
      </w:r>
      <w:r w:rsidR="00B07EE0" w:rsidRPr="00B07EE0">
        <w:rPr>
          <w:rFonts w:ascii="Arial Narrow" w:hAnsi="Arial Narrow" w:cs="Arial"/>
        </w:rPr>
        <w:t xml:space="preserve"> a collection, sorting and reprocessing infrastructure </w:t>
      </w:r>
      <w:r w:rsidR="00B07EE0">
        <w:rPr>
          <w:rFonts w:ascii="Arial Narrow" w:hAnsi="Arial Narrow" w:cs="Arial"/>
        </w:rPr>
        <w:t>across Europe for flexible packaging bas</w:t>
      </w:r>
      <w:r w:rsidR="00A55076">
        <w:rPr>
          <w:rFonts w:ascii="Arial Narrow" w:hAnsi="Arial Narrow" w:cs="Arial"/>
        </w:rPr>
        <w:t>ed on end-of-life technologies and processes that deliver the best economic and environmental outcome for a circular economy</w:t>
      </w:r>
      <w:r w:rsidR="00433CCE">
        <w:rPr>
          <w:rFonts w:ascii="Arial Narrow" w:hAnsi="Arial Narrow" w:cs="Arial"/>
        </w:rPr>
        <w:t xml:space="preserve"> via a robust business case for investment and successful pilot projects to proof the concept.</w:t>
      </w:r>
    </w:p>
    <w:p w14:paraId="41A68350" w14:textId="2C087685" w:rsidR="00DB3D57" w:rsidRDefault="00DB3D57" w:rsidP="00182449">
      <w:pPr>
        <w:rPr>
          <w:rFonts w:ascii="Arial Narrow" w:hAnsi="Arial Narrow" w:cs="Arial"/>
        </w:rPr>
      </w:pPr>
    </w:p>
    <w:p w14:paraId="5BB799B7" w14:textId="77777777" w:rsidR="00DB3D57" w:rsidRDefault="00DB3D57" w:rsidP="00182449">
      <w:pPr>
        <w:rPr>
          <w:rFonts w:ascii="Arial Narrow" w:hAnsi="Arial Narrow" w:cs="Arial"/>
        </w:rPr>
      </w:pPr>
    </w:p>
    <w:p w14:paraId="54509BCC" w14:textId="77777777" w:rsidR="00921654" w:rsidRDefault="00921654" w:rsidP="00182449">
      <w:pPr>
        <w:rPr>
          <w:rFonts w:ascii="Arial Narrow" w:hAnsi="Arial Narrow" w:cs="Arial"/>
        </w:rPr>
      </w:pPr>
    </w:p>
    <w:p w14:paraId="20AE3B43" w14:textId="0FA31CB5" w:rsidR="006D27C6" w:rsidRPr="003B64FF" w:rsidRDefault="006D27C6" w:rsidP="006D27C6">
      <w:pPr>
        <w:rPr>
          <w:rFonts w:ascii="Arial Narrow" w:hAnsi="Arial Narrow"/>
        </w:rPr>
      </w:pPr>
      <w:r w:rsidRPr="00C07002">
        <w:rPr>
          <w:rFonts w:ascii="Arial Narrow" w:hAnsi="Arial Narrow"/>
        </w:rPr>
        <w:t>For more information</w:t>
      </w:r>
      <w:r w:rsidR="001015D0">
        <w:rPr>
          <w:rFonts w:ascii="Arial Narrow" w:hAnsi="Arial Narrow"/>
        </w:rPr>
        <w:t xml:space="preserve"> </w:t>
      </w:r>
      <w:r>
        <w:rPr>
          <w:rFonts w:ascii="Arial Narrow" w:hAnsi="Arial Narrow"/>
        </w:rPr>
        <w:t>on Sun Chemical</w:t>
      </w:r>
      <w:r w:rsidR="001015D0">
        <w:rPr>
          <w:rFonts w:ascii="Arial Narrow" w:hAnsi="Arial Narrow"/>
        </w:rPr>
        <w:t xml:space="preserve">, </w:t>
      </w:r>
      <w:r>
        <w:rPr>
          <w:rFonts w:ascii="Arial Narrow" w:hAnsi="Arial Narrow"/>
        </w:rPr>
        <w:t xml:space="preserve">visit </w:t>
      </w:r>
      <w:r w:rsidRPr="006D27C6">
        <w:rPr>
          <w:rStyle w:val="Hyperlink"/>
          <w:rFonts w:ascii="Arial Narrow" w:eastAsiaTheme="majorEastAsia" w:hAnsi="Arial Narrow"/>
          <w:lang w:val="en-US"/>
        </w:rPr>
        <w:t>www.sunchemical.com</w:t>
      </w:r>
      <w:r>
        <w:rPr>
          <w:rStyle w:val="Hyperlink"/>
          <w:rFonts w:ascii="Arial Narrow" w:eastAsiaTheme="majorEastAsia" w:hAnsi="Arial Narrow"/>
          <w:lang w:val="en-US"/>
        </w:rPr>
        <w:t xml:space="preserve"> </w:t>
      </w:r>
      <w:r w:rsidR="00DB3D57">
        <w:rPr>
          <w:rStyle w:val="Hyperlink"/>
          <w:rFonts w:ascii="Arial Narrow" w:eastAsiaTheme="majorEastAsia" w:hAnsi="Arial Narrow"/>
          <w:color w:val="auto"/>
          <w:u w:val="none"/>
          <w:lang w:val="en-US"/>
        </w:rPr>
        <w:t>.</w:t>
      </w:r>
    </w:p>
    <w:p w14:paraId="699C2F5D" w14:textId="77777777" w:rsidR="00065CD4" w:rsidRDefault="00065CD4" w:rsidP="00CC64F7">
      <w:pPr>
        <w:rPr>
          <w:rFonts w:ascii="Arial Narrow" w:hAnsi="Arial Narrow"/>
          <w:b/>
        </w:rPr>
      </w:pPr>
    </w:p>
    <w:p w14:paraId="27D1E0BF" w14:textId="77777777" w:rsidR="00065CD4" w:rsidRDefault="00065CD4" w:rsidP="002D5DA1">
      <w:pPr>
        <w:jc w:val="center"/>
        <w:rPr>
          <w:rFonts w:ascii="Arial Narrow" w:hAnsi="Arial Narrow"/>
        </w:rPr>
      </w:pPr>
    </w:p>
    <w:p w14:paraId="39A7D0AF" w14:textId="77777777" w:rsidR="00065CD4" w:rsidRDefault="00065CD4" w:rsidP="002D5DA1">
      <w:pPr>
        <w:jc w:val="center"/>
        <w:rPr>
          <w:rFonts w:ascii="Arial Narrow" w:hAnsi="Arial Narrow"/>
        </w:rPr>
      </w:pPr>
      <w:r>
        <w:rPr>
          <w:rFonts w:ascii="Arial Narrow" w:hAnsi="Arial Narrow"/>
        </w:rPr>
        <w:t>ENDS</w:t>
      </w:r>
    </w:p>
    <w:p w14:paraId="1EE8C5E1" w14:textId="77777777" w:rsidR="00065CD4" w:rsidRDefault="00065CD4" w:rsidP="00C812F9">
      <w:pPr>
        <w:rPr>
          <w:rFonts w:ascii="Arial Narrow" w:hAnsi="Arial Narrow"/>
          <w:b/>
        </w:rPr>
      </w:pPr>
    </w:p>
    <w:p w14:paraId="5CCF7F92" w14:textId="0A370D05" w:rsidR="007402C5" w:rsidRDefault="007402C5" w:rsidP="00C812F9">
      <w:pPr>
        <w:rPr>
          <w:rFonts w:ascii="Arial Narrow" w:hAnsi="Arial Narrow"/>
          <w:b/>
        </w:rPr>
      </w:pPr>
    </w:p>
    <w:p w14:paraId="09151E46" w14:textId="77777777" w:rsidR="007402C5" w:rsidRDefault="007402C5" w:rsidP="00C812F9">
      <w:pPr>
        <w:rPr>
          <w:rFonts w:ascii="Arial Narrow" w:hAnsi="Arial Narrow"/>
          <w:b/>
        </w:rPr>
      </w:pPr>
    </w:p>
    <w:p w14:paraId="47992D44" w14:textId="77777777" w:rsidR="007402C5" w:rsidRDefault="007402C5" w:rsidP="00C812F9">
      <w:pPr>
        <w:rPr>
          <w:rFonts w:ascii="Arial Narrow" w:hAnsi="Arial Narrow"/>
          <w:b/>
        </w:rPr>
      </w:pPr>
    </w:p>
    <w:p w14:paraId="3055955C" w14:textId="77777777" w:rsidR="007402C5" w:rsidRDefault="007402C5" w:rsidP="00C812F9">
      <w:pPr>
        <w:rPr>
          <w:rFonts w:ascii="Arial Narrow" w:hAnsi="Arial Narrow"/>
          <w:b/>
        </w:rPr>
      </w:pPr>
    </w:p>
    <w:p w14:paraId="62FC12B1" w14:textId="77777777" w:rsidR="00065CD4" w:rsidRPr="009C3A59" w:rsidRDefault="00065CD4" w:rsidP="00722876">
      <w:pPr>
        <w:rPr>
          <w:rFonts w:ascii="Arial Narrow" w:hAnsi="Arial Narrow"/>
          <w:b/>
          <w:lang w:val="en-US"/>
        </w:rPr>
      </w:pPr>
      <w:r w:rsidRPr="009C3A59">
        <w:rPr>
          <w:rFonts w:ascii="Arial Narrow" w:hAnsi="Arial Narrow"/>
          <w:b/>
          <w:lang w:val="en-US"/>
        </w:rPr>
        <w:t xml:space="preserve">About Sun Chemical </w:t>
      </w:r>
    </w:p>
    <w:p w14:paraId="7B65F4DA" w14:textId="3B0B8A37" w:rsidR="00065CD4" w:rsidRPr="009C3A59" w:rsidRDefault="00065CD4" w:rsidP="00722876">
      <w:pPr>
        <w:ind w:right="540"/>
        <w:rPr>
          <w:rFonts w:ascii="Arial Narrow" w:hAnsi="Arial Narrow"/>
          <w:lang w:val="en-US"/>
        </w:rPr>
      </w:pPr>
      <w:r w:rsidRPr="009C3A59">
        <w:rPr>
          <w:rFonts w:ascii="Arial Narrow" w:hAnsi="Arial Narrow"/>
          <w:lang w:val="en-US"/>
        </w:rPr>
        <w:t xml:space="preserve">Sun Chemical, a </w:t>
      </w:r>
      <w:r w:rsidR="00654D36">
        <w:rPr>
          <w:rFonts w:ascii="Arial Narrow" w:hAnsi="Arial Narrow"/>
          <w:lang w:val="en-US"/>
        </w:rPr>
        <w:t>member of the DIC group, i</w:t>
      </w:r>
      <w:r>
        <w:rPr>
          <w:rFonts w:ascii="Arial Narrow" w:hAnsi="Arial Narrow"/>
          <w:lang w:val="en-US"/>
        </w:rPr>
        <w:t xml:space="preserve">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116F4642" w14:textId="65D38D45" w:rsidR="00236C22" w:rsidRDefault="00065CD4" w:rsidP="00773D1E">
      <w:pPr>
        <w:pStyle w:val="NormalWeb"/>
        <w:rPr>
          <w:rStyle w:val="Hyperlink"/>
          <w:rFonts w:ascii="Arial Narrow" w:hAnsi="Arial Narrow"/>
          <w:color w:val="800080"/>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4" w:tooltip="blocked::http://www.sunchemical.com/http://www.sunchemical.com/" w:history="1">
        <w:r w:rsidRPr="009C3A59">
          <w:rPr>
            <w:rStyle w:val="Hyperlink"/>
            <w:rFonts w:ascii="Arial Narrow" w:hAnsi="Arial Narrow"/>
            <w:color w:val="800080"/>
            <w:lang w:val="en-US"/>
          </w:rPr>
          <w:t>www.sunchemical.com</w:t>
        </w:r>
      </w:hyperlink>
    </w:p>
    <w:p w14:paraId="7C23180F" w14:textId="77777777" w:rsidR="00236C22" w:rsidRPr="00236C22" w:rsidRDefault="00236C22" w:rsidP="00236C22">
      <w:pPr>
        <w:rPr>
          <w:lang w:val="en-US"/>
        </w:rPr>
      </w:pPr>
    </w:p>
    <w:p w14:paraId="7E74CB6E" w14:textId="68B57226" w:rsidR="00236C22" w:rsidRPr="009C3A59" w:rsidRDefault="00236C22" w:rsidP="00236C22">
      <w:pPr>
        <w:rPr>
          <w:rFonts w:ascii="Arial Narrow" w:hAnsi="Arial Narrow"/>
          <w:b/>
          <w:lang w:val="en-US"/>
        </w:rPr>
      </w:pPr>
      <w:r>
        <w:rPr>
          <w:rFonts w:ascii="Arial Narrow" w:hAnsi="Arial Narrow"/>
          <w:b/>
          <w:lang w:val="en-US"/>
        </w:rPr>
        <w:t>About CEFLEX</w:t>
      </w:r>
    </w:p>
    <w:p w14:paraId="017C4093" w14:textId="4C9A5B51" w:rsidR="000C2C7A" w:rsidRDefault="00070A0E" w:rsidP="00236C22">
      <w:pPr>
        <w:rPr>
          <w:rFonts w:ascii="Arial Narrow" w:hAnsi="Arial Narrow"/>
        </w:rPr>
      </w:pPr>
      <w:r w:rsidRPr="00070A0E">
        <w:rPr>
          <w:rFonts w:ascii="Arial Narrow" w:hAnsi="Arial Narrow"/>
        </w:rPr>
        <w:t>CEFLEX is the collaborative initiative of a consortium of European companies representing the entire value chain of flexible packaging.</w:t>
      </w:r>
      <w:r>
        <w:rPr>
          <w:rFonts w:ascii="Arial Narrow" w:hAnsi="Arial Narrow"/>
        </w:rPr>
        <w:t xml:space="preserve"> </w:t>
      </w:r>
      <w:r w:rsidRPr="00070A0E">
        <w:rPr>
          <w:rFonts w:ascii="Arial Narrow" w:hAnsi="Arial Narrow"/>
        </w:rPr>
        <w:t>The project stakeholders are: The Alliance for Beverage C</w:t>
      </w:r>
      <w:r>
        <w:rPr>
          <w:rFonts w:ascii="Arial Narrow" w:hAnsi="Arial Narrow"/>
        </w:rPr>
        <w:t xml:space="preserve">artons and Environment, Albéa, </w:t>
      </w:r>
      <w:r w:rsidRPr="00070A0E">
        <w:rPr>
          <w:rFonts w:ascii="Arial Narrow" w:hAnsi="Arial Narrow"/>
        </w:rPr>
        <w:t>Aluflexpack Group, AMB SPA, Amcor, Ampacet Corporation, Applied Materials, APK AG, Attero, Avery Dennison, Bak Ambalaj, Bareks Plastik, BASF, Barilla Group, Bemis, Borealis, Robert Bosch – Packaging Technology, Bostik, Brückner Maschinen</w:t>
      </w:r>
      <w:r w:rsidRPr="00070A0E">
        <w:rPr>
          <w:rFonts w:ascii="Arial Narrow" w:hAnsi="Arial Narrow"/>
        </w:rPr>
        <w:lastRenderedPageBreak/>
        <w:t>bau, BBC CELLPACK PACKAGING, cfp flexible packaging, Citeo, COIM Group, Constantia Flexibles, Coveris, Dai Nippon Printing, Danone, delfort, Di Mauro Flexible Packaging, Dow Europe, DSD, DSM, DuPont Teijin Film, Ebro Foods, EcoBlue, ecolean, Elif Holding, Erema Group, EXPRA, EXXONMOBIL Chemicals, Ferrero, FFP Packaging Solutions, Fiberight, Flexible Packaging Europe, FPC – The Flexible Packaging Company, Gaviplas-Cadel, Gerosa Group, Goglio, Gualapack Group, Haribo, H.B. Fuller, Henkel, Herbold, Hill’s Pet Nutrition, HIPP, Huhtamaki, HP Indigo Ltd., Hydro Aluminium Rolled Products, Immer Group, Ineos, Innovia Films, JAKOBS DOUWE EGBERTS, Jindal Films Europe, KIDV, KOROZO AMBALAJ SANAYİ VE TİCARET A.Ş, Krehalon, Kuraray EVAL Europe, M&amp;S, Michelman, Mondi Consumer Packaging, Mitsui &amp; Co., Mitsui Chemicals Group Europe, Morchem, mtm plastics (A Member Of Borealis Group), Multivac, Neopac The Tube, Nestlé, Nippon Gohsei Europe, The Procter and Gamble Company, Pellenc, PepsiCo, pladis, PlasticsEurope, Plastotecnica, Polibak A.Ş., Polifilm, Polyplex, Polypouch, Polysack, Pouch Partners, Pyral, Reifenhäuser, RPC bpi group, RKW Group, Roberts Mart &amp; Co, Royal Canin, SAES Coated Films, SAICA, Sappi Packaging and Specialty Papers, Scholle IPN, Schur Flexibles, Sealed Air, The Siam Cement Public Company Limited, Siegwerk, Sit Group, Smurfit Kappa, Sojitz Europe PLC, Südpack, Suez, Sumilon Polyesther</w:t>
      </w:r>
      <w:r>
        <w:rPr>
          <w:rFonts w:ascii="Arial Narrow" w:hAnsi="Arial Narrow"/>
        </w:rPr>
        <w:t xml:space="preserve">, Sun Chemical, </w:t>
      </w:r>
      <w:r w:rsidRPr="00070A0E">
        <w:rPr>
          <w:rFonts w:ascii="Arial Narrow" w:hAnsi="Arial Narrow"/>
        </w:rPr>
        <w:t>Taghleef Industries, Tomra Sorting, Tönsmeier Wertstoffe, Toppan Europe, Toray Films Europe, Total, Toyo Ink SC Holdings, UBE Europe, Unilever, WINDMÖLLER &amp; HÖLSCHER, Wipak, WRAP</w:t>
      </w:r>
      <w:r w:rsidR="000C2C7A">
        <w:rPr>
          <w:rFonts w:ascii="Arial Narrow" w:hAnsi="Arial Narrow"/>
        </w:rPr>
        <w:t xml:space="preserve">. For more information, please visit </w:t>
      </w:r>
      <w:hyperlink r:id="rId15" w:history="1">
        <w:r w:rsidR="000C2C7A" w:rsidRPr="000C2C7A">
          <w:rPr>
            <w:rStyle w:val="Hyperlink"/>
            <w:rFonts w:ascii="Arial Narrow" w:hAnsi="Arial Narrow"/>
          </w:rPr>
          <w:t>ceflex.eu</w:t>
        </w:r>
      </w:hyperlink>
    </w:p>
    <w:p w14:paraId="0FF7E273" w14:textId="77777777" w:rsidR="000C2C7A" w:rsidRPr="000C2C7A" w:rsidRDefault="000C2C7A" w:rsidP="00236C22">
      <w:pPr>
        <w:rPr>
          <w:rFonts w:ascii="Arial Narrow" w:hAnsi="Arial Narrow"/>
          <w:lang w:val="en-US"/>
        </w:rPr>
      </w:pPr>
    </w:p>
    <w:sectPr w:rsidR="000C2C7A" w:rsidRPr="000C2C7A" w:rsidSect="002A1FD4">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4491" w14:textId="77777777" w:rsidR="00870BB9" w:rsidRDefault="00870BB9">
      <w:r>
        <w:separator/>
      </w:r>
    </w:p>
  </w:endnote>
  <w:endnote w:type="continuationSeparator" w:id="0">
    <w:p w14:paraId="3C0C6DBC" w14:textId="77777777" w:rsidR="00870BB9" w:rsidRDefault="0087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5466" w14:textId="77777777" w:rsidR="00870BB9" w:rsidRDefault="00870BB9">
      <w:r>
        <w:separator/>
      </w:r>
    </w:p>
  </w:footnote>
  <w:footnote w:type="continuationSeparator" w:id="0">
    <w:p w14:paraId="7EB50011" w14:textId="77777777" w:rsidR="00870BB9" w:rsidRDefault="0087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2854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6B5"/>
    <w:multiLevelType w:val="hybridMultilevel"/>
    <w:tmpl w:val="CCEC293E"/>
    <w:lvl w:ilvl="0" w:tplc="617C27A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A71B94"/>
    <w:multiLevelType w:val="hybridMultilevel"/>
    <w:tmpl w:val="727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E5D42"/>
    <w:multiLevelType w:val="hybridMultilevel"/>
    <w:tmpl w:val="D42E67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1"/>
  </w:num>
  <w:num w:numId="6">
    <w:abstractNumId w:val="9"/>
  </w:num>
  <w:num w:numId="7">
    <w:abstractNumId w:val="0"/>
  </w:num>
  <w:num w:numId="8">
    <w:abstractNumId w:val="7"/>
  </w:num>
  <w:num w:numId="9">
    <w:abstractNumId w:val="6"/>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2010E"/>
    <w:rsid w:val="0003543D"/>
    <w:rsid w:val="00045CB0"/>
    <w:rsid w:val="00046ABC"/>
    <w:rsid w:val="00051034"/>
    <w:rsid w:val="00053670"/>
    <w:rsid w:val="00053924"/>
    <w:rsid w:val="00055673"/>
    <w:rsid w:val="00056008"/>
    <w:rsid w:val="00061FDD"/>
    <w:rsid w:val="00064C4D"/>
    <w:rsid w:val="00065CD4"/>
    <w:rsid w:val="00066604"/>
    <w:rsid w:val="00070A0E"/>
    <w:rsid w:val="00073134"/>
    <w:rsid w:val="0009185E"/>
    <w:rsid w:val="000923D0"/>
    <w:rsid w:val="00092F43"/>
    <w:rsid w:val="0009545C"/>
    <w:rsid w:val="000A1248"/>
    <w:rsid w:val="000A2084"/>
    <w:rsid w:val="000A444B"/>
    <w:rsid w:val="000A53A9"/>
    <w:rsid w:val="000A692D"/>
    <w:rsid w:val="000A7004"/>
    <w:rsid w:val="000C14D2"/>
    <w:rsid w:val="000C2C7A"/>
    <w:rsid w:val="000C48DF"/>
    <w:rsid w:val="000C4B5F"/>
    <w:rsid w:val="000C4CF9"/>
    <w:rsid w:val="000C7DA8"/>
    <w:rsid w:val="000D1F02"/>
    <w:rsid w:val="000D58AC"/>
    <w:rsid w:val="000D5BDD"/>
    <w:rsid w:val="000E7B09"/>
    <w:rsid w:val="000E7E05"/>
    <w:rsid w:val="000F3138"/>
    <w:rsid w:val="001015D0"/>
    <w:rsid w:val="001065BC"/>
    <w:rsid w:val="001103F5"/>
    <w:rsid w:val="00111DA1"/>
    <w:rsid w:val="00113E21"/>
    <w:rsid w:val="00114B73"/>
    <w:rsid w:val="00117277"/>
    <w:rsid w:val="001208E5"/>
    <w:rsid w:val="00127543"/>
    <w:rsid w:val="00127A78"/>
    <w:rsid w:val="0013406C"/>
    <w:rsid w:val="001362CB"/>
    <w:rsid w:val="001415E9"/>
    <w:rsid w:val="001477AA"/>
    <w:rsid w:val="00154825"/>
    <w:rsid w:val="0015759F"/>
    <w:rsid w:val="00170164"/>
    <w:rsid w:val="0017608B"/>
    <w:rsid w:val="00182449"/>
    <w:rsid w:val="00182C04"/>
    <w:rsid w:val="001854A2"/>
    <w:rsid w:val="00190CAD"/>
    <w:rsid w:val="001A52E2"/>
    <w:rsid w:val="001A71F2"/>
    <w:rsid w:val="001B6C2F"/>
    <w:rsid w:val="001B7D09"/>
    <w:rsid w:val="001E307F"/>
    <w:rsid w:val="001E7CC1"/>
    <w:rsid w:val="001F1438"/>
    <w:rsid w:val="001F22B7"/>
    <w:rsid w:val="0020063D"/>
    <w:rsid w:val="002024D7"/>
    <w:rsid w:val="00202E45"/>
    <w:rsid w:val="00206FE4"/>
    <w:rsid w:val="0021414A"/>
    <w:rsid w:val="0022407C"/>
    <w:rsid w:val="00224144"/>
    <w:rsid w:val="002276B7"/>
    <w:rsid w:val="002279E4"/>
    <w:rsid w:val="00236C22"/>
    <w:rsid w:val="00236CD4"/>
    <w:rsid w:val="00252BD6"/>
    <w:rsid w:val="00260616"/>
    <w:rsid w:val="00266A0F"/>
    <w:rsid w:val="00272D36"/>
    <w:rsid w:val="002764ED"/>
    <w:rsid w:val="00276D7A"/>
    <w:rsid w:val="002800AC"/>
    <w:rsid w:val="00291E01"/>
    <w:rsid w:val="0029697B"/>
    <w:rsid w:val="002A0CFF"/>
    <w:rsid w:val="002A1FD4"/>
    <w:rsid w:val="002A579C"/>
    <w:rsid w:val="002B2B7C"/>
    <w:rsid w:val="002C0ABC"/>
    <w:rsid w:val="002C3EF8"/>
    <w:rsid w:val="002C54D7"/>
    <w:rsid w:val="002C5884"/>
    <w:rsid w:val="002D5DA1"/>
    <w:rsid w:val="002E2FBC"/>
    <w:rsid w:val="002E603A"/>
    <w:rsid w:val="002F2B22"/>
    <w:rsid w:val="002F2F78"/>
    <w:rsid w:val="002F5E28"/>
    <w:rsid w:val="00300838"/>
    <w:rsid w:val="00317DE1"/>
    <w:rsid w:val="00317F1B"/>
    <w:rsid w:val="00317F33"/>
    <w:rsid w:val="00320A3A"/>
    <w:rsid w:val="0032249E"/>
    <w:rsid w:val="00327D0B"/>
    <w:rsid w:val="00330BD8"/>
    <w:rsid w:val="003332AB"/>
    <w:rsid w:val="0033642A"/>
    <w:rsid w:val="00337059"/>
    <w:rsid w:val="0034145A"/>
    <w:rsid w:val="00342963"/>
    <w:rsid w:val="00350705"/>
    <w:rsid w:val="0036374A"/>
    <w:rsid w:val="00373B29"/>
    <w:rsid w:val="00375B9F"/>
    <w:rsid w:val="00386179"/>
    <w:rsid w:val="00390571"/>
    <w:rsid w:val="0039243A"/>
    <w:rsid w:val="003929D9"/>
    <w:rsid w:val="003A348E"/>
    <w:rsid w:val="003A7387"/>
    <w:rsid w:val="003A7A5D"/>
    <w:rsid w:val="003B580B"/>
    <w:rsid w:val="003B5E49"/>
    <w:rsid w:val="003C21C9"/>
    <w:rsid w:val="003C700C"/>
    <w:rsid w:val="003D4C36"/>
    <w:rsid w:val="003D7E53"/>
    <w:rsid w:val="003E0ADE"/>
    <w:rsid w:val="003E7A22"/>
    <w:rsid w:val="003F0996"/>
    <w:rsid w:val="003F2C15"/>
    <w:rsid w:val="003F30B5"/>
    <w:rsid w:val="003F49C5"/>
    <w:rsid w:val="003F6AC4"/>
    <w:rsid w:val="003F7323"/>
    <w:rsid w:val="00404F1D"/>
    <w:rsid w:val="00412F3D"/>
    <w:rsid w:val="004175E5"/>
    <w:rsid w:val="0042498D"/>
    <w:rsid w:val="004257F7"/>
    <w:rsid w:val="00433A13"/>
    <w:rsid w:val="00433CCE"/>
    <w:rsid w:val="00433DB2"/>
    <w:rsid w:val="004342A4"/>
    <w:rsid w:val="004364D5"/>
    <w:rsid w:val="0045223C"/>
    <w:rsid w:val="00454AAB"/>
    <w:rsid w:val="00460AEC"/>
    <w:rsid w:val="00460F95"/>
    <w:rsid w:val="00461A0F"/>
    <w:rsid w:val="00470AF3"/>
    <w:rsid w:val="00473721"/>
    <w:rsid w:val="00473E96"/>
    <w:rsid w:val="00480CEA"/>
    <w:rsid w:val="00482DE6"/>
    <w:rsid w:val="004830A1"/>
    <w:rsid w:val="00490A55"/>
    <w:rsid w:val="004A1B37"/>
    <w:rsid w:val="004A6CF0"/>
    <w:rsid w:val="004B005D"/>
    <w:rsid w:val="004B3F6C"/>
    <w:rsid w:val="004C2E1B"/>
    <w:rsid w:val="004C38B3"/>
    <w:rsid w:val="004C5732"/>
    <w:rsid w:val="004C776A"/>
    <w:rsid w:val="004D20A0"/>
    <w:rsid w:val="004E0582"/>
    <w:rsid w:val="004F17EB"/>
    <w:rsid w:val="0050068C"/>
    <w:rsid w:val="00500876"/>
    <w:rsid w:val="0050721A"/>
    <w:rsid w:val="00511DC6"/>
    <w:rsid w:val="005153AA"/>
    <w:rsid w:val="00516C26"/>
    <w:rsid w:val="0052317E"/>
    <w:rsid w:val="0052376F"/>
    <w:rsid w:val="0052444C"/>
    <w:rsid w:val="00527ED1"/>
    <w:rsid w:val="00531D5E"/>
    <w:rsid w:val="0053630A"/>
    <w:rsid w:val="00537C1B"/>
    <w:rsid w:val="0054153F"/>
    <w:rsid w:val="005426A0"/>
    <w:rsid w:val="00550F34"/>
    <w:rsid w:val="005528E1"/>
    <w:rsid w:val="0055317E"/>
    <w:rsid w:val="00563DDC"/>
    <w:rsid w:val="00565C5B"/>
    <w:rsid w:val="00567333"/>
    <w:rsid w:val="00581C1D"/>
    <w:rsid w:val="00586234"/>
    <w:rsid w:val="00596528"/>
    <w:rsid w:val="005A23A8"/>
    <w:rsid w:val="005B1D78"/>
    <w:rsid w:val="005B4450"/>
    <w:rsid w:val="005C5144"/>
    <w:rsid w:val="005D403F"/>
    <w:rsid w:val="005D790E"/>
    <w:rsid w:val="005E4987"/>
    <w:rsid w:val="005F55F7"/>
    <w:rsid w:val="005F6E42"/>
    <w:rsid w:val="005F78B8"/>
    <w:rsid w:val="00623680"/>
    <w:rsid w:val="006302E7"/>
    <w:rsid w:val="006320B2"/>
    <w:rsid w:val="00646C86"/>
    <w:rsid w:val="00654D36"/>
    <w:rsid w:val="00662488"/>
    <w:rsid w:val="00663A8B"/>
    <w:rsid w:val="00666870"/>
    <w:rsid w:val="006746B1"/>
    <w:rsid w:val="00677C63"/>
    <w:rsid w:val="00692E63"/>
    <w:rsid w:val="00693A9F"/>
    <w:rsid w:val="006954C3"/>
    <w:rsid w:val="006A059C"/>
    <w:rsid w:val="006B457F"/>
    <w:rsid w:val="006C452F"/>
    <w:rsid w:val="006D0594"/>
    <w:rsid w:val="006D1845"/>
    <w:rsid w:val="006D27C6"/>
    <w:rsid w:val="006D468B"/>
    <w:rsid w:val="006E3650"/>
    <w:rsid w:val="006E6693"/>
    <w:rsid w:val="006F2C8E"/>
    <w:rsid w:val="006F66FA"/>
    <w:rsid w:val="00702357"/>
    <w:rsid w:val="00703762"/>
    <w:rsid w:val="00704AEC"/>
    <w:rsid w:val="00707A5A"/>
    <w:rsid w:val="00722876"/>
    <w:rsid w:val="00734DBD"/>
    <w:rsid w:val="00735BF2"/>
    <w:rsid w:val="007402C5"/>
    <w:rsid w:val="00750873"/>
    <w:rsid w:val="00753D52"/>
    <w:rsid w:val="00762D3F"/>
    <w:rsid w:val="00773D1E"/>
    <w:rsid w:val="00774B95"/>
    <w:rsid w:val="007A5185"/>
    <w:rsid w:val="007B06FF"/>
    <w:rsid w:val="007B4E51"/>
    <w:rsid w:val="007B695E"/>
    <w:rsid w:val="007B6E46"/>
    <w:rsid w:val="007C493C"/>
    <w:rsid w:val="007D79F6"/>
    <w:rsid w:val="007D7ACF"/>
    <w:rsid w:val="007E054D"/>
    <w:rsid w:val="008010AA"/>
    <w:rsid w:val="00810A19"/>
    <w:rsid w:val="008164CE"/>
    <w:rsid w:val="008214C0"/>
    <w:rsid w:val="008249A5"/>
    <w:rsid w:val="0082533B"/>
    <w:rsid w:val="00831223"/>
    <w:rsid w:val="00840441"/>
    <w:rsid w:val="00840FD0"/>
    <w:rsid w:val="00846F77"/>
    <w:rsid w:val="00854584"/>
    <w:rsid w:val="008553E7"/>
    <w:rsid w:val="00867E15"/>
    <w:rsid w:val="00870BB9"/>
    <w:rsid w:val="00871C6E"/>
    <w:rsid w:val="00876321"/>
    <w:rsid w:val="00877F33"/>
    <w:rsid w:val="00880D2E"/>
    <w:rsid w:val="008815B9"/>
    <w:rsid w:val="00884372"/>
    <w:rsid w:val="00897C18"/>
    <w:rsid w:val="008A3417"/>
    <w:rsid w:val="008B321B"/>
    <w:rsid w:val="008C08A0"/>
    <w:rsid w:val="008C3697"/>
    <w:rsid w:val="008C6BC6"/>
    <w:rsid w:val="008C7345"/>
    <w:rsid w:val="008C7818"/>
    <w:rsid w:val="008D467D"/>
    <w:rsid w:val="008E1C18"/>
    <w:rsid w:val="008E2627"/>
    <w:rsid w:val="008E277E"/>
    <w:rsid w:val="008E5108"/>
    <w:rsid w:val="008F1571"/>
    <w:rsid w:val="008F557C"/>
    <w:rsid w:val="008F7C00"/>
    <w:rsid w:val="009016BF"/>
    <w:rsid w:val="00906ED4"/>
    <w:rsid w:val="00921654"/>
    <w:rsid w:val="00930394"/>
    <w:rsid w:val="00930409"/>
    <w:rsid w:val="00930E97"/>
    <w:rsid w:val="0093228B"/>
    <w:rsid w:val="00935077"/>
    <w:rsid w:val="00936BEF"/>
    <w:rsid w:val="0093797F"/>
    <w:rsid w:val="00944EF2"/>
    <w:rsid w:val="00947781"/>
    <w:rsid w:val="009537BB"/>
    <w:rsid w:val="009552A9"/>
    <w:rsid w:val="00956416"/>
    <w:rsid w:val="00957239"/>
    <w:rsid w:val="00965D98"/>
    <w:rsid w:val="009700FE"/>
    <w:rsid w:val="00974BD9"/>
    <w:rsid w:val="00977133"/>
    <w:rsid w:val="00982466"/>
    <w:rsid w:val="00983092"/>
    <w:rsid w:val="00983B2C"/>
    <w:rsid w:val="009849A7"/>
    <w:rsid w:val="00986516"/>
    <w:rsid w:val="00993594"/>
    <w:rsid w:val="009B28B8"/>
    <w:rsid w:val="009B2B8E"/>
    <w:rsid w:val="009B6905"/>
    <w:rsid w:val="009C1010"/>
    <w:rsid w:val="009C3A59"/>
    <w:rsid w:val="009E74E7"/>
    <w:rsid w:val="009F3D50"/>
    <w:rsid w:val="009F5663"/>
    <w:rsid w:val="009F5F22"/>
    <w:rsid w:val="00A029EF"/>
    <w:rsid w:val="00A0333C"/>
    <w:rsid w:val="00A1230F"/>
    <w:rsid w:val="00A14D62"/>
    <w:rsid w:val="00A15EDF"/>
    <w:rsid w:val="00A16D42"/>
    <w:rsid w:val="00A20921"/>
    <w:rsid w:val="00A23615"/>
    <w:rsid w:val="00A247A2"/>
    <w:rsid w:val="00A42847"/>
    <w:rsid w:val="00A55076"/>
    <w:rsid w:val="00A558DD"/>
    <w:rsid w:val="00A62257"/>
    <w:rsid w:val="00A71D81"/>
    <w:rsid w:val="00A81C97"/>
    <w:rsid w:val="00A8775F"/>
    <w:rsid w:val="00A97817"/>
    <w:rsid w:val="00AA1E2F"/>
    <w:rsid w:val="00AA320F"/>
    <w:rsid w:val="00AA5810"/>
    <w:rsid w:val="00AB0C2F"/>
    <w:rsid w:val="00AB47B7"/>
    <w:rsid w:val="00AC31EF"/>
    <w:rsid w:val="00AC514E"/>
    <w:rsid w:val="00AC7B15"/>
    <w:rsid w:val="00AD0B84"/>
    <w:rsid w:val="00AD1907"/>
    <w:rsid w:val="00AD78ED"/>
    <w:rsid w:val="00AE3FD0"/>
    <w:rsid w:val="00AE59D4"/>
    <w:rsid w:val="00AF7333"/>
    <w:rsid w:val="00B0117D"/>
    <w:rsid w:val="00B07B73"/>
    <w:rsid w:val="00B07EE0"/>
    <w:rsid w:val="00B104F5"/>
    <w:rsid w:val="00B14AF4"/>
    <w:rsid w:val="00B215C3"/>
    <w:rsid w:val="00B3007D"/>
    <w:rsid w:val="00B35282"/>
    <w:rsid w:val="00B36973"/>
    <w:rsid w:val="00B36F3C"/>
    <w:rsid w:val="00B44C9E"/>
    <w:rsid w:val="00B460E9"/>
    <w:rsid w:val="00B80349"/>
    <w:rsid w:val="00B8052E"/>
    <w:rsid w:val="00B84CA4"/>
    <w:rsid w:val="00B92DDD"/>
    <w:rsid w:val="00BA02E4"/>
    <w:rsid w:val="00BA62CB"/>
    <w:rsid w:val="00BA66FF"/>
    <w:rsid w:val="00BA74B0"/>
    <w:rsid w:val="00BB0056"/>
    <w:rsid w:val="00BB4951"/>
    <w:rsid w:val="00BC0F90"/>
    <w:rsid w:val="00BC3CD6"/>
    <w:rsid w:val="00BC7A36"/>
    <w:rsid w:val="00BD3C29"/>
    <w:rsid w:val="00BF34B2"/>
    <w:rsid w:val="00BF6FD8"/>
    <w:rsid w:val="00C036A2"/>
    <w:rsid w:val="00C05EF6"/>
    <w:rsid w:val="00C10FC0"/>
    <w:rsid w:val="00C155CD"/>
    <w:rsid w:val="00C21EBD"/>
    <w:rsid w:val="00C23797"/>
    <w:rsid w:val="00C24916"/>
    <w:rsid w:val="00C26851"/>
    <w:rsid w:val="00C26BB0"/>
    <w:rsid w:val="00C3090E"/>
    <w:rsid w:val="00C329C3"/>
    <w:rsid w:val="00C331C8"/>
    <w:rsid w:val="00C41C1B"/>
    <w:rsid w:val="00C50331"/>
    <w:rsid w:val="00C54D8E"/>
    <w:rsid w:val="00C559DE"/>
    <w:rsid w:val="00C62C2F"/>
    <w:rsid w:val="00C66BDE"/>
    <w:rsid w:val="00C727F1"/>
    <w:rsid w:val="00C747E6"/>
    <w:rsid w:val="00C809B8"/>
    <w:rsid w:val="00C812F9"/>
    <w:rsid w:val="00C835A0"/>
    <w:rsid w:val="00C85742"/>
    <w:rsid w:val="00CA3844"/>
    <w:rsid w:val="00CC64F7"/>
    <w:rsid w:val="00CC7DE0"/>
    <w:rsid w:val="00CC7DFE"/>
    <w:rsid w:val="00CD7C7E"/>
    <w:rsid w:val="00CF040C"/>
    <w:rsid w:val="00CF3396"/>
    <w:rsid w:val="00D02002"/>
    <w:rsid w:val="00D118E7"/>
    <w:rsid w:val="00D12DD9"/>
    <w:rsid w:val="00D17CAF"/>
    <w:rsid w:val="00D17CE1"/>
    <w:rsid w:val="00D26AF3"/>
    <w:rsid w:val="00D304D1"/>
    <w:rsid w:val="00D46743"/>
    <w:rsid w:val="00D54F9C"/>
    <w:rsid w:val="00D5521C"/>
    <w:rsid w:val="00D66309"/>
    <w:rsid w:val="00D7107C"/>
    <w:rsid w:val="00D7181E"/>
    <w:rsid w:val="00D73E9F"/>
    <w:rsid w:val="00D832A1"/>
    <w:rsid w:val="00D87A74"/>
    <w:rsid w:val="00D90D06"/>
    <w:rsid w:val="00D94F49"/>
    <w:rsid w:val="00D9520A"/>
    <w:rsid w:val="00D95EAC"/>
    <w:rsid w:val="00DA2330"/>
    <w:rsid w:val="00DA2B87"/>
    <w:rsid w:val="00DB3D57"/>
    <w:rsid w:val="00DC1EB4"/>
    <w:rsid w:val="00DC563E"/>
    <w:rsid w:val="00DC61C4"/>
    <w:rsid w:val="00DD077D"/>
    <w:rsid w:val="00DD2C59"/>
    <w:rsid w:val="00DD2D3E"/>
    <w:rsid w:val="00DD4F55"/>
    <w:rsid w:val="00DD635C"/>
    <w:rsid w:val="00DE1FB1"/>
    <w:rsid w:val="00DE20FF"/>
    <w:rsid w:val="00DE7917"/>
    <w:rsid w:val="00DF75FC"/>
    <w:rsid w:val="00E01F39"/>
    <w:rsid w:val="00E04797"/>
    <w:rsid w:val="00E05EE9"/>
    <w:rsid w:val="00E07DF6"/>
    <w:rsid w:val="00E1443E"/>
    <w:rsid w:val="00E164B0"/>
    <w:rsid w:val="00E21011"/>
    <w:rsid w:val="00E5331F"/>
    <w:rsid w:val="00E54529"/>
    <w:rsid w:val="00E54BB1"/>
    <w:rsid w:val="00E60591"/>
    <w:rsid w:val="00E60B01"/>
    <w:rsid w:val="00E712EA"/>
    <w:rsid w:val="00E71C18"/>
    <w:rsid w:val="00E8790C"/>
    <w:rsid w:val="00E91606"/>
    <w:rsid w:val="00E9519D"/>
    <w:rsid w:val="00E971F8"/>
    <w:rsid w:val="00EA1215"/>
    <w:rsid w:val="00EA5F28"/>
    <w:rsid w:val="00EB0B15"/>
    <w:rsid w:val="00EB4BC0"/>
    <w:rsid w:val="00EC19B5"/>
    <w:rsid w:val="00EC4FDA"/>
    <w:rsid w:val="00EC54C6"/>
    <w:rsid w:val="00EC7860"/>
    <w:rsid w:val="00ED7659"/>
    <w:rsid w:val="00ED7B3E"/>
    <w:rsid w:val="00EE3BF5"/>
    <w:rsid w:val="00EE6FF8"/>
    <w:rsid w:val="00EE733A"/>
    <w:rsid w:val="00EF059B"/>
    <w:rsid w:val="00EF2251"/>
    <w:rsid w:val="00EF3566"/>
    <w:rsid w:val="00EF5805"/>
    <w:rsid w:val="00F00D1C"/>
    <w:rsid w:val="00F05515"/>
    <w:rsid w:val="00F16F19"/>
    <w:rsid w:val="00F37EC2"/>
    <w:rsid w:val="00F406AD"/>
    <w:rsid w:val="00F44952"/>
    <w:rsid w:val="00F459C2"/>
    <w:rsid w:val="00F51351"/>
    <w:rsid w:val="00F51550"/>
    <w:rsid w:val="00F535BC"/>
    <w:rsid w:val="00F640E4"/>
    <w:rsid w:val="00F663FA"/>
    <w:rsid w:val="00F722EB"/>
    <w:rsid w:val="00F74EB1"/>
    <w:rsid w:val="00F75821"/>
    <w:rsid w:val="00F75FB2"/>
    <w:rsid w:val="00F7795C"/>
    <w:rsid w:val="00F80726"/>
    <w:rsid w:val="00F83275"/>
    <w:rsid w:val="00F852FF"/>
    <w:rsid w:val="00F85E99"/>
    <w:rsid w:val="00F944F7"/>
    <w:rsid w:val="00F9527D"/>
    <w:rsid w:val="00FA3E15"/>
    <w:rsid w:val="00FA575D"/>
    <w:rsid w:val="00FC1C54"/>
    <w:rsid w:val="00FC2BF3"/>
    <w:rsid w:val="00FD3DB7"/>
    <w:rsid w:val="00FD73A1"/>
    <w:rsid w:val="00FE2CD8"/>
    <w:rsid w:val="00FF03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uiPriority w:val="99"/>
    <w:semiHidden/>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 w:type="paragraph" w:styleId="ListBullet">
    <w:name w:val="List Bullet"/>
    <w:basedOn w:val="Normal"/>
    <w:uiPriority w:val="99"/>
    <w:unhideWhenUsed/>
    <w:rsid w:val="004F17EB"/>
    <w:pPr>
      <w:numPr>
        <w:numId w:val="7"/>
      </w:numPr>
      <w:contextualSpacing/>
    </w:pPr>
  </w:style>
  <w:style w:type="paragraph" w:styleId="ListParagraph">
    <w:name w:val="List Paragraph"/>
    <w:basedOn w:val="Normal"/>
    <w:uiPriority w:val="34"/>
    <w:qFormat/>
    <w:rsid w:val="004F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19556">
      <w:bodyDiv w:val="1"/>
      <w:marLeft w:val="0"/>
      <w:marRight w:val="0"/>
      <w:marTop w:val="0"/>
      <w:marBottom w:val="0"/>
      <w:divBdr>
        <w:top w:val="none" w:sz="0" w:space="0" w:color="auto"/>
        <w:left w:val="none" w:sz="0" w:space="0" w:color="auto"/>
        <w:bottom w:val="none" w:sz="0" w:space="0" w:color="auto"/>
        <w:right w:val="none" w:sz="0" w:space="0" w:color="auto"/>
      </w:divBdr>
    </w:div>
    <w:div w:id="1200246240">
      <w:bodyDiv w:val="1"/>
      <w:marLeft w:val="0"/>
      <w:marRight w:val="0"/>
      <w:marTop w:val="0"/>
      <w:marBottom w:val="0"/>
      <w:divBdr>
        <w:top w:val="none" w:sz="0" w:space="0" w:color="auto"/>
        <w:left w:val="none" w:sz="0" w:space="0" w:color="auto"/>
        <w:bottom w:val="none" w:sz="0" w:space="0" w:color="auto"/>
        <w:right w:val="none" w:sz="0" w:space="0" w:color="auto"/>
      </w:divBdr>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 w:id="1911575106">
      <w:bodyDiv w:val="1"/>
      <w:marLeft w:val="0"/>
      <w:marRight w:val="0"/>
      <w:marTop w:val="0"/>
      <w:marBottom w:val="0"/>
      <w:divBdr>
        <w:top w:val="none" w:sz="0" w:space="0" w:color="auto"/>
        <w:left w:val="none" w:sz="0" w:space="0" w:color="auto"/>
        <w:bottom w:val="none" w:sz="0" w:space="0" w:color="auto"/>
        <w:right w:val="none" w:sz="0" w:space="0" w:color="auto"/>
      </w:divBdr>
    </w:div>
    <w:div w:id="21031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eflex.eu/"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289</Value>
      <Value>2</Value>
    </TaxCatchAll>
    <TaxKeywordTaxHTField xmlns="33a04f6d-823c-476e-bd30-27cf0fc2b76e">
      <Terms xmlns="http://schemas.microsoft.com/office/infopath/2007/PartnerControls">
        <TermInfo xmlns="http://schemas.microsoft.com/office/infopath/2007/PartnerControls">
          <TermName>Sun Chemical</TermName>
          <TermId>1a2fbc1e-53c5-4e70-8dc0-a17f6b508849</TermId>
        </TermInfo>
        <TermInfo xmlns="http://schemas.microsoft.com/office/infopath/2007/PartnerControls">
          <TermName>CEFLEX</TermName>
          <TermId>2541b70c-4ed9-4a1a-b075-41484786e8ff</TermId>
        </TermInfo>
      </Terms>
    </TaxKeywordTaxHTField>
    <Version_x0020_Author xmlns="c1a12fb0-c530-47fd-b769-7ec909441206">AD Communications </Version_x0020_Author>
    <Draft xmlns="c1a12fb0-c530-47fd-b769-7ec909441206">Final</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0AA6B-DDD8-40FA-950F-AD5C40BED046}">
  <ds:schemaRefs>
    <ds:schemaRef ds:uri="http://schemas.microsoft.com/office/2006/metadata/properties"/>
    <ds:schemaRef ds:uri="http://schemas.microsoft.com/office/infopath/2007/PartnerControls"/>
    <ds:schemaRef ds:uri="33a04f6d-823c-476e-bd30-27cf0fc2b76e"/>
    <ds:schemaRef ds:uri="c1a12fb0-c530-47fd-b769-7ec909441206"/>
  </ds:schemaRefs>
</ds:datastoreItem>
</file>

<file path=customXml/itemProps2.xml><?xml version="1.0" encoding="utf-8"?>
<ds:datastoreItem xmlns:ds="http://schemas.openxmlformats.org/officeDocument/2006/customXml" ds:itemID="{7F346034-1474-4FC8-942E-2379189F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B6688-2CBC-4380-9E16-D69873ECC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Sun Chemical joins CEFLEX to support development of a circular economy for flexible packaging</vt:lpstr>
      <vt:lpstr> </vt:lpstr>
    </vt:vector>
  </TitlesOfParts>
  <Company>Sun Chemical</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joins CEFLEX to support development of a circular economy for flexible packaging</dc:title>
  <dc:subject/>
  <dc:creator>AD Communications</dc:creator>
  <cp:keywords>Sun Chemical ; CEFLEX</cp:keywords>
  <dc:description/>
  <cp:lastModifiedBy>Sirah Awan</cp:lastModifiedBy>
  <cp:revision>2</cp:revision>
  <cp:lastPrinted>2019-03-22T09:24:00Z</cp:lastPrinted>
  <dcterms:created xsi:type="dcterms:W3CDTF">2019-03-26T09:26:00Z</dcterms:created>
  <dcterms:modified xsi:type="dcterms:W3CDTF">2019-03-26T09:26:00Z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2;#Sun Chemical|1a2fbc1e-53c5-4e70-8dc0-a17f6b508849;#289;#CEFLEX|2541b70c-4ed9-4a1a-b075-41484786e8ff</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ies>
</file>