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3C20" w14:textId="77777777" w:rsidR="007D379F" w:rsidRPr="003D0DE6" w:rsidRDefault="007D379F" w:rsidP="0063274C">
      <w:pPr>
        <w:spacing w:line="360" w:lineRule="auto"/>
        <w:jc w:val="both"/>
        <w:rPr>
          <w:rFonts w:ascii="Arial" w:hAnsi="Arial" w:cs="Arial"/>
          <w:b/>
          <w:color w:val="000000" w:themeColor="text1"/>
        </w:rPr>
      </w:pPr>
    </w:p>
    <w:p w14:paraId="0C71A0D2" w14:textId="77777777" w:rsidR="00C970AE" w:rsidRDefault="00C970AE" w:rsidP="0063274C">
      <w:pPr>
        <w:spacing w:line="360" w:lineRule="auto"/>
        <w:jc w:val="both"/>
        <w:rPr>
          <w:rFonts w:ascii="Arial" w:hAnsi="Arial" w:cs="Arial"/>
          <w:b/>
          <w:color w:val="000000" w:themeColor="text1"/>
        </w:rPr>
      </w:pPr>
    </w:p>
    <w:p w14:paraId="7E33623D" w14:textId="6CC30C41" w:rsidR="009865DA" w:rsidRPr="003D0DE6" w:rsidRDefault="00C967CE" w:rsidP="0063274C">
      <w:pPr>
        <w:spacing w:line="360" w:lineRule="auto"/>
        <w:jc w:val="both"/>
        <w:rPr>
          <w:rFonts w:ascii="Arial" w:hAnsi="Arial" w:cs="Arial"/>
          <w:b/>
          <w:color w:val="000000" w:themeColor="text1"/>
        </w:rPr>
      </w:pPr>
      <w:r>
        <w:rPr>
          <w:rFonts w:ascii="Arial" w:hAnsi="Arial" w:cs="Arial"/>
          <w:b/>
          <w:color w:val="000000" w:themeColor="text1"/>
        </w:rPr>
        <w:t>30</w:t>
      </w:r>
      <w:bookmarkStart w:id="0" w:name="_GoBack"/>
      <w:bookmarkEnd w:id="0"/>
      <w:r w:rsidR="00D60404">
        <w:rPr>
          <w:rFonts w:ascii="Arial" w:hAnsi="Arial" w:cs="Arial"/>
          <w:b/>
          <w:color w:val="000000" w:themeColor="text1"/>
        </w:rPr>
        <w:t xml:space="preserve"> </w:t>
      </w:r>
      <w:r w:rsidR="00200A6A">
        <w:rPr>
          <w:rFonts w:ascii="Arial" w:hAnsi="Arial" w:cs="Arial"/>
          <w:b/>
          <w:color w:val="000000" w:themeColor="text1"/>
        </w:rPr>
        <w:t>de s</w:t>
      </w:r>
      <w:r w:rsidR="00D60404">
        <w:rPr>
          <w:rFonts w:ascii="Arial" w:hAnsi="Arial" w:cs="Arial"/>
          <w:b/>
          <w:color w:val="000000" w:themeColor="text1"/>
        </w:rPr>
        <w:t>ept</w:t>
      </w:r>
      <w:r w:rsidR="00200A6A">
        <w:rPr>
          <w:rFonts w:ascii="Arial" w:hAnsi="Arial" w:cs="Arial"/>
          <w:b/>
          <w:color w:val="000000" w:themeColor="text1"/>
        </w:rPr>
        <w:t>i</w:t>
      </w:r>
      <w:r w:rsidR="00D60404">
        <w:rPr>
          <w:rFonts w:ascii="Arial" w:hAnsi="Arial" w:cs="Arial"/>
          <w:b/>
          <w:color w:val="000000" w:themeColor="text1"/>
        </w:rPr>
        <w:t>emb</w:t>
      </w:r>
      <w:r w:rsidR="00200A6A">
        <w:rPr>
          <w:rFonts w:ascii="Arial" w:hAnsi="Arial" w:cs="Arial"/>
          <w:b/>
          <w:color w:val="000000" w:themeColor="text1"/>
        </w:rPr>
        <w:t>re de</w:t>
      </w:r>
      <w:r w:rsidR="0019367E" w:rsidRPr="003D0DE6">
        <w:rPr>
          <w:rFonts w:ascii="Arial" w:hAnsi="Arial" w:cs="Arial"/>
          <w:b/>
          <w:color w:val="000000" w:themeColor="text1"/>
        </w:rPr>
        <w:t xml:space="preserve"> 2019 </w:t>
      </w:r>
    </w:p>
    <w:p w14:paraId="7F0D276C" w14:textId="77777777" w:rsidR="00036600" w:rsidRDefault="00036600" w:rsidP="0069210D">
      <w:pPr>
        <w:spacing w:line="360" w:lineRule="auto"/>
        <w:jc w:val="both"/>
        <w:rPr>
          <w:rFonts w:ascii="Arial" w:hAnsi="Arial" w:cs="Arial"/>
          <w:b/>
          <w:bCs/>
          <w:color w:val="000000" w:themeColor="text1"/>
          <w:sz w:val="24"/>
          <w:szCs w:val="24"/>
        </w:rPr>
      </w:pPr>
      <w:r w:rsidRPr="00036600">
        <w:rPr>
          <w:rFonts w:ascii="Arial" w:hAnsi="Arial" w:cs="Arial"/>
          <w:b/>
          <w:bCs/>
          <w:color w:val="000000" w:themeColor="text1"/>
          <w:sz w:val="24"/>
          <w:szCs w:val="24"/>
        </w:rPr>
        <w:t>La Jet Press 750S ha recibido la certificación Fogra para realizar pruebas de color</w:t>
      </w:r>
      <w:r w:rsidRPr="00036600">
        <w:rPr>
          <w:rFonts w:ascii="Arial" w:hAnsi="Arial" w:cs="Arial"/>
          <w:b/>
          <w:bCs/>
          <w:color w:val="000000" w:themeColor="text1"/>
          <w:sz w:val="24"/>
          <w:szCs w:val="24"/>
        </w:rPr>
        <w:tab/>
        <w:t xml:space="preserve"> </w:t>
      </w:r>
    </w:p>
    <w:p w14:paraId="16B0EA92" w14:textId="77777777" w:rsidR="00036600" w:rsidRDefault="00036600" w:rsidP="009535AC">
      <w:pPr>
        <w:spacing w:line="360" w:lineRule="auto"/>
        <w:jc w:val="both"/>
        <w:rPr>
          <w:rFonts w:ascii="Arial" w:hAnsi="Arial" w:cs="Arial"/>
          <w:b/>
          <w:i/>
          <w:color w:val="000000" w:themeColor="text1"/>
        </w:rPr>
      </w:pPr>
      <w:r w:rsidRPr="00036600">
        <w:rPr>
          <w:rFonts w:ascii="Arial" w:hAnsi="Arial" w:cs="Arial"/>
          <w:b/>
          <w:i/>
          <w:color w:val="000000" w:themeColor="text1"/>
        </w:rPr>
        <w:t>Con este reconocimiento, la impresora de inyección de tinta B2 de tercera generación de Fujifilm se convierte en el dispositivo para pruebas de color más rápido del mundo y en la única impresora de producción en el mundo certificada para ello</w:t>
      </w:r>
      <w:r w:rsidRPr="00036600">
        <w:rPr>
          <w:rFonts w:ascii="Arial" w:hAnsi="Arial" w:cs="Arial"/>
          <w:b/>
          <w:i/>
          <w:color w:val="000000" w:themeColor="text1"/>
        </w:rPr>
        <w:tab/>
        <w:t xml:space="preserve"> </w:t>
      </w:r>
    </w:p>
    <w:p w14:paraId="155118DA" w14:textId="12D99D5C" w:rsidR="009535AC" w:rsidRDefault="00036600" w:rsidP="009535AC">
      <w:pPr>
        <w:spacing w:line="360" w:lineRule="auto"/>
        <w:jc w:val="both"/>
        <w:rPr>
          <w:rFonts w:ascii="Arial" w:hAnsi="Arial" w:cs="Arial"/>
          <w:color w:val="000000" w:themeColor="text1"/>
        </w:rPr>
      </w:pPr>
      <w:r w:rsidRPr="00036600">
        <w:rPr>
          <w:rFonts w:ascii="Arial" w:hAnsi="Arial" w:cs="Arial"/>
          <w:color w:val="000000" w:themeColor="text1"/>
        </w:rPr>
        <w:t>Fujifilm ha anunciado hoy que su altamente reconocida impresora de inyección de tinta B2 de tercera generación ha recibido la certificación de Fogra para la impresión de pruebas de color, incluidas las acreditaciones FOGRA51 y FOGRA52 por sus sustratos premium libres de madera estucados y no estucados, respectivamente. Este reconocimiento ha sido otorgado tras la realización de numerosas pruebas en el Centro de tecnología de impresión avanzada de Fujifilm en Bruselas, realizadas con el software de gestión del color de Fujifilm XMF ColorPath.</w:t>
      </w:r>
      <w:r w:rsidRPr="00036600">
        <w:rPr>
          <w:rFonts w:ascii="Arial" w:hAnsi="Arial" w:cs="Arial"/>
          <w:color w:val="000000" w:themeColor="text1"/>
        </w:rPr>
        <w:tab/>
        <w:t xml:space="preserve"> </w:t>
      </w:r>
      <w:r w:rsidR="009535AC" w:rsidRPr="009535AC">
        <w:rPr>
          <w:rFonts w:ascii="Arial" w:hAnsi="Arial" w:cs="Arial"/>
          <w:color w:val="000000" w:themeColor="text1"/>
        </w:rPr>
        <w:t xml:space="preserve">I rigidi test hanno valutato e approvato la Jet Press per: </w:t>
      </w:r>
    </w:p>
    <w:p w14:paraId="664D095C"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"Fujifilm ha anunciado hoy que su altamente reconocida impresora de inyección de tinta B2 de tercera generación ha recibido la certificación de Fogra para la impresión de pruebas de color, incluidas las acreditaciones FOGRA51 y FOGRA52 por sus sustratos premium libres de madera estucados y no estucados, respectivamente. Este reconocimiento ha sido otorgado tras la realización de numerosas pruebas en el Centro de tecnología de impresión avanzada de Fujifilm en Bruselas, realizadas con el software de gestión del color de Fujifilm XMF ColorPath.</w:t>
      </w:r>
    </w:p>
    <w:p w14:paraId="346CFE11"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xml:space="preserve">El exhaustivo proceso de pruebas evaluó y aprobó la Jet Press en base a los siguientes valores: </w:t>
      </w:r>
    </w:p>
    <w:p w14:paraId="545B9E60"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Compatibilidad con PDF/X</w:t>
      </w:r>
    </w:p>
    <w:p w14:paraId="59D7BEA9"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Color, brillo y fluorescencia del sustrato</w:t>
      </w:r>
    </w:p>
    <w:p w14:paraId="44BA47EA"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Precisión del color [gama]</w:t>
      </w:r>
    </w:p>
    <w:p w14:paraId="3965B2C7"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Uniformidad, permanencia y resistencia a la luz</w:t>
      </w:r>
    </w:p>
    <w:p w14:paraId="0D883CCF"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lastRenderedPageBreak/>
        <w:t>• Decoloración [difuminado]</w:t>
      </w:r>
    </w:p>
    <w:p w14:paraId="3E9193BC"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Repetibilidad a corto y a largo plazo</w:t>
      </w:r>
    </w:p>
    <w:p w14:paraId="71DD7886"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xml:space="preserve">• Resistencia al emborronamiento </w:t>
      </w:r>
    </w:p>
    <w:p w14:paraId="586595BA"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xml:space="preserve">• Transferencia del valor del tono colorimétrico </w:t>
      </w:r>
    </w:p>
    <w:p w14:paraId="4C2DF3E2"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xml:space="preserve">• Límites de reproducción del valor del tono </w:t>
      </w:r>
    </w:p>
    <w:p w14:paraId="19F213D9"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xml:space="preserve">• Registro de imagen y capacidad de resolución </w:t>
      </w:r>
    </w:p>
    <w:p w14:paraId="76F03123"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xml:space="preserve">• Información de márgenes </w:t>
      </w:r>
    </w:p>
    <w:p w14:paraId="6BE1E6E0"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xml:space="preserve">Con las pruebas realizadas en papeles offset estucados y sin estucar, papel estucado de inyección de tinta, papel de lienzo y sintético, la Jet Press superó todos los estándares requeridos. </w:t>
      </w:r>
    </w:p>
    <w:p w14:paraId="5463207A" w14:textId="61311F96" w:rsid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“Nos impresionó la consistencia y la calidad de los resultados producidos por la Jet Press 750S”, afirma Yuan Li del Fogra Research Institute for Media Technologies. “Solo los sistemas de impresión que ofrecen un alto nivel de rendimiento pueden superar pruebas como estas".</w:t>
      </w:r>
    </w:p>
    <w:p w14:paraId="3D5492C0" w14:textId="02B204C2"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Mark Stephenson, jefe de producto de Digital Printing y Press Systems de Fujifilm Graphic Systems EMEA, afirma que están muy contentos por los resultados, pero que no les sorprenden. “Desde hace ya algún tiempo”, explica, “especialmente en el mercado japonés, la Jet Press goza de un considerable éxito como dispositivo de pruebas. Es mucho más que eso, por supuesto, pero hemos visto cómo reemplazaba el procesamiento húmedo de pruebas en Japón, donde los impresores offset han reconocido rápidamente su potencial para crear pruebas rápidas y de muy alta calidad para tiradas offset largas.</w:t>
      </w:r>
      <w:r w:rsidRPr="00036600">
        <w:rPr>
          <w:rFonts w:ascii="Arial" w:hAnsi="Arial" w:cs="Arial"/>
          <w:color w:val="000000" w:themeColor="text1"/>
        </w:rPr>
        <w:tab/>
      </w:r>
    </w:p>
    <w:p w14:paraId="79E1C0F5"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“La certificación de Fogra confirma los altísimos estándares de consistencia y precisión del color que la Jet Press puede alcanzar y estamos encantados de que haya conseguido este sello de aprobación oficial. Esta certificación es una muy buena razón para que la Jet Press 750S se convierta en el dispositivo para pruebas de color más rápido del mundo y en la única impresora de producción en el mundo certificada para ello”.</w:t>
      </w:r>
    </w:p>
    <w:p w14:paraId="64B472A2"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xml:space="preserve">Como reconocimiento adicional por su precisión en el color, la Jet Press 750S ha recibido también la Digital Press Certification y la ISO/PAS 15339 Master Elite Certification de Idealliance, el think tank estadounidense de las </w:t>
      </w:r>
      <w:r w:rsidRPr="00036600">
        <w:rPr>
          <w:rFonts w:ascii="Arial" w:hAnsi="Arial" w:cs="Arial"/>
          <w:color w:val="000000" w:themeColor="text1"/>
        </w:rPr>
        <w:lastRenderedPageBreak/>
        <w:t xml:space="preserve">artes gráficas. Ningún otro dispositivo digital de cuatricomía (aparte de la Jet Press 720S de Fujifilm) ha obtenido ambas acreditaciones. </w:t>
      </w:r>
    </w:p>
    <w:p w14:paraId="799EA5F6" w14:textId="77777777" w:rsidR="00036600" w:rsidRPr="00036600" w:rsidRDefault="00036600" w:rsidP="00036600">
      <w:pPr>
        <w:spacing w:line="360" w:lineRule="auto"/>
        <w:jc w:val="both"/>
        <w:rPr>
          <w:rFonts w:ascii="Arial" w:hAnsi="Arial" w:cs="Arial"/>
          <w:color w:val="000000" w:themeColor="text1"/>
        </w:rPr>
      </w:pPr>
      <w:r w:rsidRPr="00036600">
        <w:rPr>
          <w:rFonts w:ascii="Arial" w:hAnsi="Arial" w:cs="Arial"/>
          <w:color w:val="000000" w:themeColor="text1"/>
        </w:rPr>
        <w:t xml:space="preserve">Para obtener más información sobre la Jet Press 750S, visite: www.imagineinkjet.com </w:t>
      </w:r>
    </w:p>
    <w:p w14:paraId="47554AC9" w14:textId="66F4E5D5" w:rsidR="000613BD" w:rsidRPr="003D0DE6" w:rsidRDefault="000613BD" w:rsidP="009535AC">
      <w:pPr>
        <w:spacing w:line="360" w:lineRule="auto"/>
        <w:jc w:val="center"/>
        <w:rPr>
          <w:rFonts w:ascii="Arial" w:hAnsi="Arial" w:cs="Arial"/>
          <w:b/>
          <w:color w:val="000000" w:themeColor="text1"/>
        </w:rPr>
      </w:pPr>
      <w:r w:rsidRPr="003D0DE6">
        <w:rPr>
          <w:rFonts w:ascii="Arial" w:hAnsi="Arial" w:cs="Arial"/>
          <w:b/>
          <w:color w:val="000000" w:themeColor="text1"/>
        </w:rPr>
        <w:t>ENDS</w:t>
      </w:r>
      <w:r w:rsidR="00C70F69">
        <w:rPr>
          <w:rFonts w:ascii="Arial" w:hAnsi="Arial" w:cs="Arial"/>
          <w:b/>
          <w:color w:val="000000" w:themeColor="text1"/>
        </w:rPr>
        <w:br/>
      </w:r>
    </w:p>
    <w:p w14:paraId="2ADC1DFD" w14:textId="77777777" w:rsidR="00481854" w:rsidRPr="008012C1" w:rsidRDefault="00481854" w:rsidP="00481854">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59774CE6" w14:textId="77777777" w:rsidR="00481854" w:rsidRPr="008012C1" w:rsidRDefault="00481854" w:rsidP="00481854">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50CDF32A" w14:textId="77777777" w:rsidR="00481854" w:rsidRPr="008012C1" w:rsidRDefault="00481854" w:rsidP="00481854">
      <w:pPr>
        <w:spacing w:after="0" w:line="360" w:lineRule="auto"/>
        <w:jc w:val="both"/>
        <w:rPr>
          <w:rFonts w:ascii="Arial" w:hAnsi="Arial" w:cs="Arial"/>
          <w:color w:val="000000"/>
          <w:sz w:val="20"/>
          <w:szCs w:val="20"/>
          <w:lang w:val="es-ES_tradnl"/>
        </w:rPr>
      </w:pPr>
    </w:p>
    <w:p w14:paraId="07F66369" w14:textId="77777777" w:rsidR="00481854" w:rsidRPr="008012C1" w:rsidRDefault="00481854" w:rsidP="00481854">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12505BC2" w14:textId="77777777" w:rsidR="00481854" w:rsidRDefault="00481854" w:rsidP="00481854">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2FDCE630" w14:textId="77777777" w:rsidR="00481854" w:rsidRPr="00975024" w:rsidRDefault="00481854" w:rsidP="00481854">
      <w:pPr>
        <w:spacing w:after="0" w:line="240" w:lineRule="auto"/>
        <w:jc w:val="both"/>
        <w:rPr>
          <w:rFonts w:ascii="Arial" w:hAnsi="Arial" w:cs="Arial"/>
          <w:sz w:val="20"/>
          <w:szCs w:val="20"/>
          <w:lang w:val="es-ES_tradnl"/>
        </w:rPr>
      </w:pPr>
    </w:p>
    <w:p w14:paraId="48778891" w14:textId="77777777" w:rsidR="00481854" w:rsidRPr="00975024" w:rsidRDefault="00481854" w:rsidP="00481854">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2CBF074E" w14:textId="77777777" w:rsidR="00481854" w:rsidRPr="00210F7A" w:rsidRDefault="00481854" w:rsidP="00481854">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37881301" w14:textId="77777777" w:rsidR="00481854" w:rsidRPr="00210F7A" w:rsidRDefault="00481854" w:rsidP="00481854">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7A4DD4C4" w14:textId="77777777" w:rsidR="00481854" w:rsidRPr="008012C1" w:rsidRDefault="00481854" w:rsidP="00481854">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16E86761" w14:textId="77777777" w:rsidR="00481854" w:rsidRPr="008012C1" w:rsidRDefault="00481854" w:rsidP="00481854">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554212BA" w14:textId="019A719C" w:rsidR="00C03ED1" w:rsidRPr="003D0DE6" w:rsidRDefault="00C03ED1" w:rsidP="00036600">
      <w:pPr>
        <w:tabs>
          <w:tab w:val="center" w:pos="3691"/>
        </w:tabs>
        <w:spacing w:line="240" w:lineRule="auto"/>
        <w:jc w:val="both"/>
        <w:rPr>
          <w:rFonts w:ascii="Arial" w:hAnsi="Arial" w:cs="Arial"/>
          <w:color w:val="000000" w:themeColor="text1"/>
        </w:rPr>
      </w:pPr>
    </w:p>
    <w:sectPr w:rsidR="00C03ED1" w:rsidRPr="003D0DE6" w:rsidSect="00B531FF">
      <w:headerReference w:type="default" r:id="rId12"/>
      <w:pgSz w:w="11906" w:h="16838" w:code="9"/>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4B5B9" w14:textId="77777777" w:rsidR="008B1815" w:rsidRDefault="008B1815" w:rsidP="00155739">
      <w:pPr>
        <w:spacing w:after="0" w:line="240" w:lineRule="auto"/>
      </w:pPr>
      <w:r>
        <w:separator/>
      </w:r>
    </w:p>
  </w:endnote>
  <w:endnote w:type="continuationSeparator" w:id="0">
    <w:p w14:paraId="1CFE422A" w14:textId="77777777" w:rsidR="008B1815" w:rsidRDefault="008B181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DAE72" w14:textId="77777777" w:rsidR="008B1815" w:rsidRDefault="008B1815" w:rsidP="00155739">
      <w:pPr>
        <w:spacing w:after="0" w:line="240" w:lineRule="auto"/>
      </w:pPr>
      <w:r>
        <w:separator/>
      </w:r>
    </w:p>
  </w:footnote>
  <w:footnote w:type="continuationSeparator" w:id="0">
    <w:p w14:paraId="7D3E82C1" w14:textId="77777777" w:rsidR="008B1815" w:rsidRDefault="008B1815"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0519" w14:textId="77777777" w:rsidR="00155739" w:rsidRDefault="00155739" w:rsidP="00155739">
    <w:pPr>
      <w:pStyle w:val="Header"/>
    </w:pPr>
    <w:r>
      <w:rPr>
        <w:b/>
        <w:noProof/>
        <w:lang w:eastAsia="en-GB"/>
      </w:rPr>
      <w:drawing>
        <wp:anchor distT="0" distB="0" distL="114300" distR="114300" simplePos="0" relativeHeight="251658240" behindDoc="1" locked="0" layoutInCell="1" allowOverlap="1" wp14:anchorId="4ABDAFA9" wp14:editId="6A08D4D6">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46009" w14:textId="77777777" w:rsidR="00155739" w:rsidRDefault="00155739">
    <w:pPr>
      <w:pStyle w:val="Header"/>
    </w:pPr>
    <w:r>
      <w:rPr>
        <w:noProof/>
        <w:lang w:eastAsia="en-GB"/>
      </w:rPr>
      <mc:AlternateContent>
        <mc:Choice Requires="wps">
          <w:drawing>
            <wp:anchor distT="0" distB="0" distL="114300" distR="114300" simplePos="0" relativeHeight="251656192" behindDoc="0" locked="0" layoutInCell="1" allowOverlap="1" wp14:anchorId="6FDA0BE7" wp14:editId="1B0787E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6CFEC" id="Rectangle 2" o:spid="_x0000_s1026" style="position:absolute;margin-left:0;margin-top:16.3pt;width:603pt;height:7.1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E04E57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B3B0B"/>
    <w:multiLevelType w:val="hybridMultilevel"/>
    <w:tmpl w:val="CCA8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44F2"/>
    <w:rsid w:val="00035B40"/>
    <w:rsid w:val="00036600"/>
    <w:rsid w:val="00036BEA"/>
    <w:rsid w:val="00042891"/>
    <w:rsid w:val="00044F97"/>
    <w:rsid w:val="00051107"/>
    <w:rsid w:val="000613BD"/>
    <w:rsid w:val="00062F38"/>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200A6A"/>
    <w:rsid w:val="002024CF"/>
    <w:rsid w:val="00202F53"/>
    <w:rsid w:val="00205451"/>
    <w:rsid w:val="002073EB"/>
    <w:rsid w:val="00216E7C"/>
    <w:rsid w:val="00226571"/>
    <w:rsid w:val="00226F17"/>
    <w:rsid w:val="0023478D"/>
    <w:rsid w:val="00235FBD"/>
    <w:rsid w:val="00236C20"/>
    <w:rsid w:val="00240E4A"/>
    <w:rsid w:val="00243156"/>
    <w:rsid w:val="002601FF"/>
    <w:rsid w:val="00263C2D"/>
    <w:rsid w:val="00264B7E"/>
    <w:rsid w:val="0027785E"/>
    <w:rsid w:val="00277C08"/>
    <w:rsid w:val="00287267"/>
    <w:rsid w:val="00292508"/>
    <w:rsid w:val="00292BA6"/>
    <w:rsid w:val="00292D35"/>
    <w:rsid w:val="002A2538"/>
    <w:rsid w:val="002A39E6"/>
    <w:rsid w:val="002D7F83"/>
    <w:rsid w:val="002E1BD8"/>
    <w:rsid w:val="002F7105"/>
    <w:rsid w:val="00301CA0"/>
    <w:rsid w:val="00312B29"/>
    <w:rsid w:val="00316B84"/>
    <w:rsid w:val="0032479E"/>
    <w:rsid w:val="00324E6C"/>
    <w:rsid w:val="00325CF2"/>
    <w:rsid w:val="00327C2E"/>
    <w:rsid w:val="00342DD9"/>
    <w:rsid w:val="00345475"/>
    <w:rsid w:val="00346299"/>
    <w:rsid w:val="003470AF"/>
    <w:rsid w:val="00352130"/>
    <w:rsid w:val="00353920"/>
    <w:rsid w:val="00355A6C"/>
    <w:rsid w:val="00361A11"/>
    <w:rsid w:val="00365004"/>
    <w:rsid w:val="003703B8"/>
    <w:rsid w:val="00392CB5"/>
    <w:rsid w:val="003A3CA6"/>
    <w:rsid w:val="003B4FF2"/>
    <w:rsid w:val="003B6EB0"/>
    <w:rsid w:val="003C0327"/>
    <w:rsid w:val="003C1789"/>
    <w:rsid w:val="003C2C54"/>
    <w:rsid w:val="003C36BD"/>
    <w:rsid w:val="003D0DE6"/>
    <w:rsid w:val="003D1F12"/>
    <w:rsid w:val="003E3B7A"/>
    <w:rsid w:val="003E4EE8"/>
    <w:rsid w:val="003F30B4"/>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00DA"/>
    <w:rsid w:val="00474BDF"/>
    <w:rsid w:val="00476861"/>
    <w:rsid w:val="00480A29"/>
    <w:rsid w:val="00480BE4"/>
    <w:rsid w:val="00481854"/>
    <w:rsid w:val="00483AED"/>
    <w:rsid w:val="00486F04"/>
    <w:rsid w:val="004906C9"/>
    <w:rsid w:val="004937AB"/>
    <w:rsid w:val="00494E0C"/>
    <w:rsid w:val="004A46C0"/>
    <w:rsid w:val="004A7C69"/>
    <w:rsid w:val="004C70B6"/>
    <w:rsid w:val="004D560A"/>
    <w:rsid w:val="004D76FF"/>
    <w:rsid w:val="004F1892"/>
    <w:rsid w:val="005110FF"/>
    <w:rsid w:val="00512744"/>
    <w:rsid w:val="00522766"/>
    <w:rsid w:val="005327B8"/>
    <w:rsid w:val="005366F5"/>
    <w:rsid w:val="0053683D"/>
    <w:rsid w:val="005420B5"/>
    <w:rsid w:val="0054449B"/>
    <w:rsid w:val="0055164D"/>
    <w:rsid w:val="00563530"/>
    <w:rsid w:val="00564DC8"/>
    <w:rsid w:val="00572394"/>
    <w:rsid w:val="0058796F"/>
    <w:rsid w:val="00590AA9"/>
    <w:rsid w:val="005955EB"/>
    <w:rsid w:val="005A1ECD"/>
    <w:rsid w:val="005A4FE1"/>
    <w:rsid w:val="005B254C"/>
    <w:rsid w:val="005B2E86"/>
    <w:rsid w:val="005B7443"/>
    <w:rsid w:val="005C2703"/>
    <w:rsid w:val="005C4CAE"/>
    <w:rsid w:val="005D10AE"/>
    <w:rsid w:val="005D3FA3"/>
    <w:rsid w:val="005E322E"/>
    <w:rsid w:val="005F16A3"/>
    <w:rsid w:val="005F59A7"/>
    <w:rsid w:val="0061045B"/>
    <w:rsid w:val="00614F0B"/>
    <w:rsid w:val="006166AA"/>
    <w:rsid w:val="0062432B"/>
    <w:rsid w:val="00624D22"/>
    <w:rsid w:val="0063274C"/>
    <w:rsid w:val="00635643"/>
    <w:rsid w:val="00641868"/>
    <w:rsid w:val="00641B95"/>
    <w:rsid w:val="00650A74"/>
    <w:rsid w:val="00651346"/>
    <w:rsid w:val="00651E38"/>
    <w:rsid w:val="00652A39"/>
    <w:rsid w:val="00653AAE"/>
    <w:rsid w:val="00655631"/>
    <w:rsid w:val="006761CB"/>
    <w:rsid w:val="00681DF3"/>
    <w:rsid w:val="0069210D"/>
    <w:rsid w:val="00693228"/>
    <w:rsid w:val="00693D7B"/>
    <w:rsid w:val="006B54DF"/>
    <w:rsid w:val="006B66F1"/>
    <w:rsid w:val="006C13D5"/>
    <w:rsid w:val="006F161F"/>
    <w:rsid w:val="006F18A7"/>
    <w:rsid w:val="006F4431"/>
    <w:rsid w:val="006F5027"/>
    <w:rsid w:val="00704114"/>
    <w:rsid w:val="00706020"/>
    <w:rsid w:val="00706B37"/>
    <w:rsid w:val="007126FB"/>
    <w:rsid w:val="00715333"/>
    <w:rsid w:val="0072126A"/>
    <w:rsid w:val="00722A37"/>
    <w:rsid w:val="00723A46"/>
    <w:rsid w:val="00742FC5"/>
    <w:rsid w:val="00755A43"/>
    <w:rsid w:val="00756DE2"/>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81031F"/>
    <w:rsid w:val="00821F96"/>
    <w:rsid w:val="00831068"/>
    <w:rsid w:val="008353F0"/>
    <w:rsid w:val="00844E5C"/>
    <w:rsid w:val="008463CB"/>
    <w:rsid w:val="00847B7F"/>
    <w:rsid w:val="00847BEB"/>
    <w:rsid w:val="00867A61"/>
    <w:rsid w:val="00884229"/>
    <w:rsid w:val="00893054"/>
    <w:rsid w:val="008944C2"/>
    <w:rsid w:val="008971CC"/>
    <w:rsid w:val="00897C66"/>
    <w:rsid w:val="008A0672"/>
    <w:rsid w:val="008A2095"/>
    <w:rsid w:val="008A6388"/>
    <w:rsid w:val="008B1815"/>
    <w:rsid w:val="008F2305"/>
    <w:rsid w:val="008F6611"/>
    <w:rsid w:val="00902977"/>
    <w:rsid w:val="0090554D"/>
    <w:rsid w:val="009079C2"/>
    <w:rsid w:val="00921842"/>
    <w:rsid w:val="009239B3"/>
    <w:rsid w:val="00930CF9"/>
    <w:rsid w:val="00936DE7"/>
    <w:rsid w:val="0094115B"/>
    <w:rsid w:val="009441A1"/>
    <w:rsid w:val="009474BA"/>
    <w:rsid w:val="009535AC"/>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017D"/>
    <w:rsid w:val="00B11D34"/>
    <w:rsid w:val="00B164B3"/>
    <w:rsid w:val="00B376CC"/>
    <w:rsid w:val="00B41A95"/>
    <w:rsid w:val="00B41EBE"/>
    <w:rsid w:val="00B4384B"/>
    <w:rsid w:val="00B441BA"/>
    <w:rsid w:val="00B51F1B"/>
    <w:rsid w:val="00B531FF"/>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BF5BCB"/>
    <w:rsid w:val="00BF5C5B"/>
    <w:rsid w:val="00C03ED1"/>
    <w:rsid w:val="00C06607"/>
    <w:rsid w:val="00C14C39"/>
    <w:rsid w:val="00C207E8"/>
    <w:rsid w:val="00C3172C"/>
    <w:rsid w:val="00C34871"/>
    <w:rsid w:val="00C37DE1"/>
    <w:rsid w:val="00C52868"/>
    <w:rsid w:val="00C563B9"/>
    <w:rsid w:val="00C5655D"/>
    <w:rsid w:val="00C65974"/>
    <w:rsid w:val="00C65D26"/>
    <w:rsid w:val="00C7068F"/>
    <w:rsid w:val="00C70F69"/>
    <w:rsid w:val="00C73237"/>
    <w:rsid w:val="00C7349D"/>
    <w:rsid w:val="00C8240C"/>
    <w:rsid w:val="00C82C39"/>
    <w:rsid w:val="00C83E14"/>
    <w:rsid w:val="00C86C4B"/>
    <w:rsid w:val="00C91391"/>
    <w:rsid w:val="00C967CE"/>
    <w:rsid w:val="00C970AE"/>
    <w:rsid w:val="00CB1847"/>
    <w:rsid w:val="00CB224A"/>
    <w:rsid w:val="00CB2920"/>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0404"/>
    <w:rsid w:val="00D63E79"/>
    <w:rsid w:val="00D748E1"/>
    <w:rsid w:val="00D753ED"/>
    <w:rsid w:val="00D909E8"/>
    <w:rsid w:val="00D9489E"/>
    <w:rsid w:val="00D94AF8"/>
    <w:rsid w:val="00DA7E91"/>
    <w:rsid w:val="00DB52B2"/>
    <w:rsid w:val="00DB6B93"/>
    <w:rsid w:val="00DB743D"/>
    <w:rsid w:val="00DD71C8"/>
    <w:rsid w:val="00E002C1"/>
    <w:rsid w:val="00E00922"/>
    <w:rsid w:val="00E012A3"/>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169BB"/>
    <w:rsid w:val="00F230CF"/>
    <w:rsid w:val="00F23741"/>
    <w:rsid w:val="00F25B85"/>
    <w:rsid w:val="00F329B7"/>
    <w:rsid w:val="00F46E30"/>
    <w:rsid w:val="00F5373C"/>
    <w:rsid w:val="00F569A1"/>
    <w:rsid w:val="00F65020"/>
    <w:rsid w:val="00F65ABE"/>
    <w:rsid w:val="00F70669"/>
    <w:rsid w:val="00F73AEC"/>
    <w:rsid w:val="00F755B3"/>
    <w:rsid w:val="00F7731F"/>
    <w:rsid w:val="00F81A8F"/>
    <w:rsid w:val="00F94F4A"/>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BE29"/>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customStyle="1" w:styleId="Default">
    <w:name w:val="Default"/>
    <w:rsid w:val="00235FB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12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1916726">
      <w:bodyDiv w:val="1"/>
      <w:marLeft w:val="0"/>
      <w:marRight w:val="0"/>
      <w:marTop w:val="0"/>
      <w:marBottom w:val="0"/>
      <w:divBdr>
        <w:top w:val="none" w:sz="0" w:space="0" w:color="auto"/>
        <w:left w:val="none" w:sz="0" w:space="0" w:color="auto"/>
        <w:bottom w:val="none" w:sz="0" w:space="0" w:color="auto"/>
        <w:right w:val="none" w:sz="0" w:space="0" w:color="auto"/>
      </w:divBdr>
    </w:div>
    <w:div w:id="254214394">
      <w:bodyDiv w:val="1"/>
      <w:marLeft w:val="0"/>
      <w:marRight w:val="0"/>
      <w:marTop w:val="0"/>
      <w:marBottom w:val="0"/>
      <w:divBdr>
        <w:top w:val="none" w:sz="0" w:space="0" w:color="auto"/>
        <w:left w:val="none" w:sz="0" w:space="0" w:color="auto"/>
        <w:bottom w:val="none" w:sz="0" w:space="0" w:color="auto"/>
        <w:right w:val="none" w:sz="0" w:space="0" w:color="auto"/>
      </w:divBdr>
    </w:div>
    <w:div w:id="337855615">
      <w:bodyDiv w:val="1"/>
      <w:marLeft w:val="0"/>
      <w:marRight w:val="0"/>
      <w:marTop w:val="0"/>
      <w:marBottom w:val="0"/>
      <w:divBdr>
        <w:top w:val="none" w:sz="0" w:space="0" w:color="auto"/>
        <w:left w:val="none" w:sz="0" w:space="0" w:color="auto"/>
        <w:bottom w:val="none" w:sz="0" w:space="0" w:color="auto"/>
        <w:right w:val="none" w:sz="0" w:space="0" w:color="auto"/>
      </w:divBdr>
    </w:div>
    <w:div w:id="415828113">
      <w:bodyDiv w:val="1"/>
      <w:marLeft w:val="0"/>
      <w:marRight w:val="0"/>
      <w:marTop w:val="0"/>
      <w:marBottom w:val="0"/>
      <w:divBdr>
        <w:top w:val="none" w:sz="0" w:space="0" w:color="auto"/>
        <w:left w:val="none" w:sz="0" w:space="0" w:color="auto"/>
        <w:bottom w:val="none" w:sz="0" w:space="0" w:color="auto"/>
        <w:right w:val="none" w:sz="0" w:space="0" w:color="auto"/>
      </w:divBdr>
    </w:div>
    <w:div w:id="48975308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9835722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76949687">
      <w:bodyDiv w:val="1"/>
      <w:marLeft w:val="0"/>
      <w:marRight w:val="0"/>
      <w:marTop w:val="0"/>
      <w:marBottom w:val="0"/>
      <w:divBdr>
        <w:top w:val="none" w:sz="0" w:space="0" w:color="auto"/>
        <w:left w:val="none" w:sz="0" w:space="0" w:color="auto"/>
        <w:bottom w:val="none" w:sz="0" w:space="0" w:color="auto"/>
        <w:right w:val="none" w:sz="0" w:space="0" w:color="auto"/>
      </w:divBdr>
    </w:div>
    <w:div w:id="886985877">
      <w:bodyDiv w:val="1"/>
      <w:marLeft w:val="0"/>
      <w:marRight w:val="0"/>
      <w:marTop w:val="0"/>
      <w:marBottom w:val="0"/>
      <w:divBdr>
        <w:top w:val="none" w:sz="0" w:space="0" w:color="auto"/>
        <w:left w:val="none" w:sz="0" w:space="0" w:color="auto"/>
        <w:bottom w:val="none" w:sz="0" w:space="0" w:color="auto"/>
        <w:right w:val="none" w:sz="0" w:space="0" w:color="auto"/>
      </w:divBdr>
    </w:div>
    <w:div w:id="1028216073">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4664310">
      <w:bodyDiv w:val="1"/>
      <w:marLeft w:val="0"/>
      <w:marRight w:val="0"/>
      <w:marTop w:val="0"/>
      <w:marBottom w:val="0"/>
      <w:divBdr>
        <w:top w:val="none" w:sz="0" w:space="0" w:color="auto"/>
        <w:left w:val="none" w:sz="0" w:space="0" w:color="auto"/>
        <w:bottom w:val="none" w:sz="0" w:space="0" w:color="auto"/>
        <w:right w:val="none" w:sz="0" w:space="0" w:color="auto"/>
      </w:divBdr>
    </w:div>
    <w:div w:id="1233733160">
      <w:bodyDiv w:val="1"/>
      <w:marLeft w:val="0"/>
      <w:marRight w:val="0"/>
      <w:marTop w:val="0"/>
      <w:marBottom w:val="0"/>
      <w:divBdr>
        <w:top w:val="none" w:sz="0" w:space="0" w:color="auto"/>
        <w:left w:val="none" w:sz="0" w:space="0" w:color="auto"/>
        <w:bottom w:val="none" w:sz="0" w:space="0" w:color="auto"/>
        <w:right w:val="none" w:sz="0" w:space="0" w:color="auto"/>
      </w:divBdr>
    </w:div>
    <w:div w:id="1317801150">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85450619">
      <w:bodyDiv w:val="1"/>
      <w:marLeft w:val="0"/>
      <w:marRight w:val="0"/>
      <w:marTop w:val="0"/>
      <w:marBottom w:val="0"/>
      <w:divBdr>
        <w:top w:val="none" w:sz="0" w:space="0" w:color="auto"/>
        <w:left w:val="none" w:sz="0" w:space="0" w:color="auto"/>
        <w:bottom w:val="none" w:sz="0" w:space="0" w:color="auto"/>
        <w:right w:val="none" w:sz="0" w:space="0" w:color="auto"/>
      </w:divBdr>
    </w:div>
    <w:div w:id="1687823115">
      <w:bodyDiv w:val="1"/>
      <w:marLeft w:val="0"/>
      <w:marRight w:val="0"/>
      <w:marTop w:val="0"/>
      <w:marBottom w:val="0"/>
      <w:divBdr>
        <w:top w:val="none" w:sz="0" w:space="0" w:color="auto"/>
        <w:left w:val="none" w:sz="0" w:space="0" w:color="auto"/>
        <w:bottom w:val="none" w:sz="0" w:space="0" w:color="auto"/>
        <w:right w:val="none" w:sz="0" w:space="0" w:color="auto"/>
      </w:divBdr>
    </w:div>
    <w:div w:id="1737119301">
      <w:bodyDiv w:val="1"/>
      <w:marLeft w:val="0"/>
      <w:marRight w:val="0"/>
      <w:marTop w:val="0"/>
      <w:marBottom w:val="0"/>
      <w:divBdr>
        <w:top w:val="none" w:sz="0" w:space="0" w:color="auto"/>
        <w:left w:val="none" w:sz="0" w:space="0" w:color="auto"/>
        <w:bottom w:val="none" w:sz="0" w:space="0" w:color="auto"/>
        <w:right w:val="none" w:sz="0" w:space="0" w:color="auto"/>
      </w:divBdr>
    </w:div>
    <w:div w:id="1910729443">
      <w:bodyDiv w:val="1"/>
      <w:marLeft w:val="0"/>
      <w:marRight w:val="0"/>
      <w:marTop w:val="0"/>
      <w:marBottom w:val="0"/>
      <w:divBdr>
        <w:top w:val="none" w:sz="0" w:space="0" w:color="auto"/>
        <w:left w:val="none" w:sz="0" w:space="0" w:color="auto"/>
        <w:bottom w:val="none" w:sz="0" w:space="0" w:color="auto"/>
        <w:right w:val="none" w:sz="0" w:space="0" w:color="auto"/>
      </w:divBdr>
    </w:div>
    <w:div w:id="1961297648">
      <w:bodyDiv w:val="1"/>
      <w:marLeft w:val="0"/>
      <w:marRight w:val="0"/>
      <w:marTop w:val="0"/>
      <w:marBottom w:val="0"/>
      <w:divBdr>
        <w:top w:val="none" w:sz="0" w:space="0" w:color="auto"/>
        <w:left w:val="none" w:sz="0" w:space="0" w:color="auto"/>
        <w:bottom w:val="none" w:sz="0" w:space="0" w:color="auto"/>
        <w:right w:val="none" w:sz="0" w:space="0" w:color="auto"/>
      </w:divBdr>
    </w:div>
    <w:div w:id="1999307589">
      <w:bodyDiv w:val="1"/>
      <w:marLeft w:val="0"/>
      <w:marRight w:val="0"/>
      <w:marTop w:val="0"/>
      <w:marBottom w:val="0"/>
      <w:divBdr>
        <w:top w:val="none" w:sz="0" w:space="0" w:color="auto"/>
        <w:left w:val="none" w:sz="0" w:space="0" w:color="auto"/>
        <w:bottom w:val="none" w:sz="0" w:space="0" w:color="auto"/>
        <w:right w:val="none" w:sz="0" w:space="0" w:color="auto"/>
      </w:divBdr>
    </w:div>
    <w:div w:id="20314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33a04f6d-823c-476e-bd30-27cf0fc2b76e"/>
    <ds:schemaRef ds:uri="http://schemas.microsoft.com/sharepoint/v3"/>
  </ds:schemaRefs>
</ds:datastoreItem>
</file>

<file path=customXml/itemProps3.xml><?xml version="1.0" encoding="utf-8"?>
<ds:datastoreItem xmlns:ds="http://schemas.openxmlformats.org/officeDocument/2006/customXml" ds:itemID="{A501C561-B202-4A1E-9835-EACF56AB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lastModifiedBy>Sirah Awan</cp:lastModifiedBy>
  <cp:revision>3</cp:revision>
  <cp:lastPrinted>2019-05-14T10:09:00Z</cp:lastPrinted>
  <dcterms:created xsi:type="dcterms:W3CDTF">2019-09-24T14:24:00Z</dcterms:created>
  <dcterms:modified xsi:type="dcterms:W3CDTF">2019-09-27T14:29:00Z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