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A0D2" w14:textId="77777777" w:rsidR="00C970AE" w:rsidRDefault="00C970AE" w:rsidP="00094DE4">
      <w:pPr>
        <w:spacing w:line="360" w:lineRule="auto"/>
        <w:jc w:val="both"/>
        <w:rPr>
          <w:rFonts w:ascii="Arial" w:hAnsi="Arial" w:cs="Arial"/>
          <w:b/>
          <w:color w:val="000000" w:themeColor="text1"/>
        </w:rPr>
      </w:pPr>
    </w:p>
    <w:p w14:paraId="3DC46AF0" w14:textId="77777777" w:rsidR="00CE42C9" w:rsidRDefault="00CE42C9" w:rsidP="0013344F">
      <w:pPr>
        <w:spacing w:line="360" w:lineRule="auto"/>
        <w:rPr>
          <w:rFonts w:ascii="Arial" w:eastAsia="Arial" w:hAnsi="Arial" w:cs="Arial"/>
          <w:b/>
          <w:color w:val="000000" w:themeColor="text1"/>
          <w:lang w:bidi="pl-PL"/>
        </w:rPr>
      </w:pPr>
      <w:r w:rsidRPr="00CE42C9">
        <w:rPr>
          <w:rFonts w:ascii="Arial" w:eastAsia="Arial" w:hAnsi="Arial" w:cs="Arial"/>
          <w:b/>
          <w:color w:val="000000" w:themeColor="text1"/>
          <w:lang w:bidi="pl-PL"/>
        </w:rPr>
        <w:t>30 września 2019 r</w:t>
      </w:r>
    </w:p>
    <w:p w14:paraId="144CC915" w14:textId="33474564" w:rsidR="001C6857" w:rsidRDefault="00E80E03" w:rsidP="0013344F">
      <w:pPr>
        <w:spacing w:line="360" w:lineRule="auto"/>
        <w:rPr>
          <w:rFonts w:ascii="Arial" w:hAnsi="Arial" w:cs="Arial"/>
          <w:b/>
          <w:color w:val="000000" w:themeColor="text1"/>
          <w:sz w:val="24"/>
          <w:szCs w:val="24"/>
        </w:rPr>
      </w:pPr>
      <w:bookmarkStart w:id="0" w:name="_GoBack"/>
      <w:bookmarkEnd w:id="0"/>
      <w:r>
        <w:rPr>
          <w:rFonts w:ascii="Arial" w:eastAsia="Arial" w:hAnsi="Arial" w:cs="Arial"/>
          <w:b/>
          <w:color w:val="000000" w:themeColor="text1"/>
          <w:sz w:val="24"/>
          <w:szCs w:val="24"/>
          <w:lang w:bidi="pl-PL"/>
        </w:rPr>
        <w:t>Jet Press 750S otrzymuje certyfikat Fogra dla proofu kontraktowego</w:t>
      </w:r>
    </w:p>
    <w:p w14:paraId="60CAD51D" w14:textId="77777777" w:rsidR="006F5027" w:rsidRPr="0008095B" w:rsidRDefault="00E012A3" w:rsidP="00B1017D">
      <w:pPr>
        <w:spacing w:line="360" w:lineRule="auto"/>
        <w:jc w:val="both"/>
        <w:rPr>
          <w:rFonts w:ascii="Arial" w:hAnsi="Arial" w:cs="Arial"/>
          <w:b/>
          <w:i/>
          <w:color w:val="000000" w:themeColor="text1"/>
        </w:rPr>
      </w:pPr>
      <w:r>
        <w:rPr>
          <w:rFonts w:ascii="Arial" w:eastAsia="Arial" w:hAnsi="Arial" w:cs="Arial"/>
          <w:b/>
          <w:i/>
          <w:color w:val="000000" w:themeColor="text1"/>
          <w:lang w:bidi="pl-PL"/>
        </w:rPr>
        <w:t>Dzięki akredytacji atramentowa maszyna drukująca w formacie B2 trzeciej generacji firmy Fujifilm jest najszybszym na świecie urządzeniem do proofu kontraktowego i jedyną na świecie maszyną produkcyjną certyfikowaną do proofu kontraktowego</w:t>
      </w:r>
    </w:p>
    <w:p w14:paraId="605E92FF" w14:textId="1330181C" w:rsidR="00CB2920" w:rsidRDefault="00E012A3"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pl-PL"/>
        </w:rPr>
        <w:t>Firma Fujifilm poinformowała dziś, że ciesząca się dużą renomą jej atramentowa maszyna drukująca w formacie B2 trzeciej generacji otrzymała certyfikat Fogra dla proofu kontraktowego, w tym akredytacje FOGRA51 i FOGRA52 odpowiednio na powlekane i niepowlekane podłoża bezdrzewne klasy premium. Jest to wynikiem testów przeprowadzonych w Centrum Zaawansowanych Technologii Druku firmy Fujifilm w Brukseli, z wykorzystaniem autorskiego oprogramowania do zarządzania barwą XMF ColorPath firmy Fujifilm.</w:t>
      </w:r>
    </w:p>
    <w:p w14:paraId="273A3C32" w14:textId="77777777" w:rsidR="00235FBD" w:rsidRDefault="00CB2920" w:rsidP="00235FBD">
      <w:pPr>
        <w:spacing w:line="360" w:lineRule="auto"/>
        <w:ind w:right="180"/>
        <w:jc w:val="both"/>
        <w:rPr>
          <w:rFonts w:ascii="Arial" w:hAnsi="Arial" w:cs="Arial"/>
          <w:color w:val="000000" w:themeColor="text1"/>
        </w:rPr>
      </w:pPr>
      <w:r w:rsidRPr="00235FBD">
        <w:rPr>
          <w:rFonts w:ascii="Arial" w:eastAsia="Arial" w:hAnsi="Arial" w:cs="Arial"/>
          <w:color w:val="000000" w:themeColor="text1"/>
          <w:lang w:bidi="pl-PL"/>
        </w:rPr>
        <w:t xml:space="preserve">Gruntowy proces testowania ocenił i zatwierdził maszynę Jet Press w następującym zakresie: </w:t>
      </w:r>
    </w:p>
    <w:p w14:paraId="002411CD"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eastAsia="Arial" w:hAnsi="Arial" w:cs="Arial"/>
          <w:lang w:bidi="pl-PL"/>
        </w:rPr>
        <w:t>Zgodność z PDF/X</w:t>
      </w:r>
    </w:p>
    <w:p w14:paraId="02CB8B77"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eastAsia="Arial" w:hAnsi="Arial" w:cs="Arial"/>
          <w:lang w:bidi="pl-PL"/>
        </w:rPr>
        <w:t>Proof koloru, połysku i fluorescencji podłoża</w:t>
      </w:r>
    </w:p>
    <w:p w14:paraId="55B20B3A"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eastAsia="Arial" w:hAnsi="Arial" w:cs="Arial"/>
          <w:lang w:bidi="pl-PL"/>
        </w:rPr>
        <w:t>Dokładność kolorów [gamut]</w:t>
      </w:r>
    </w:p>
    <w:p w14:paraId="2A65A4B9" w14:textId="77777777" w:rsidR="00235FBD" w:rsidRDefault="00235FBD" w:rsidP="00235FBD">
      <w:pPr>
        <w:pStyle w:val="ListParagraph"/>
        <w:numPr>
          <w:ilvl w:val="0"/>
          <w:numId w:val="4"/>
        </w:numPr>
        <w:spacing w:line="360" w:lineRule="auto"/>
        <w:ind w:right="180"/>
        <w:jc w:val="both"/>
        <w:rPr>
          <w:rFonts w:ascii="Arial" w:hAnsi="Arial" w:cs="Arial"/>
        </w:rPr>
      </w:pPr>
      <w:r>
        <w:rPr>
          <w:rFonts w:ascii="Arial" w:eastAsia="Arial" w:hAnsi="Arial" w:cs="Arial"/>
          <w:lang w:bidi="pl-PL"/>
        </w:rPr>
        <w:t>Jednorodność, trwałość i odporność na światło</w:t>
      </w:r>
    </w:p>
    <w:p w14:paraId="186D2001" w14:textId="77777777" w:rsidR="00235FBD" w:rsidRDefault="00235FBD" w:rsidP="00235FBD">
      <w:pPr>
        <w:pStyle w:val="ListParagraph"/>
        <w:numPr>
          <w:ilvl w:val="0"/>
          <w:numId w:val="4"/>
        </w:numPr>
        <w:spacing w:line="360" w:lineRule="auto"/>
        <w:ind w:right="180"/>
        <w:jc w:val="both"/>
        <w:rPr>
          <w:rFonts w:ascii="Arial" w:hAnsi="Arial" w:cs="Arial"/>
        </w:rPr>
      </w:pPr>
      <w:r>
        <w:rPr>
          <w:rFonts w:ascii="Arial" w:eastAsia="Arial" w:hAnsi="Arial" w:cs="Arial"/>
          <w:lang w:bidi="pl-PL"/>
        </w:rPr>
        <w:t>Blaknięcie [tendencja]</w:t>
      </w:r>
    </w:p>
    <w:p w14:paraId="2D719530" w14:textId="3719AB10" w:rsidR="00BF5BCB" w:rsidRDefault="00235FBD" w:rsidP="00AE7271">
      <w:pPr>
        <w:pStyle w:val="ListParagraph"/>
        <w:numPr>
          <w:ilvl w:val="0"/>
          <w:numId w:val="4"/>
        </w:numPr>
        <w:spacing w:after="72" w:line="360" w:lineRule="auto"/>
        <w:ind w:right="180"/>
        <w:jc w:val="both"/>
        <w:rPr>
          <w:rFonts w:ascii="Arial" w:hAnsi="Arial" w:cs="Arial"/>
        </w:rPr>
      </w:pPr>
      <w:r>
        <w:rPr>
          <w:rFonts w:ascii="Arial" w:eastAsia="Arial" w:hAnsi="Arial" w:cs="Arial"/>
          <w:lang w:bidi="pl-PL"/>
        </w:rPr>
        <w:t>Powtarzalność długo- i krótkoterminowa</w:t>
      </w:r>
    </w:p>
    <w:p w14:paraId="79752F92" w14:textId="6EC443D3"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eastAsia="Arial" w:hAnsi="Arial" w:cs="Arial"/>
          <w:lang w:bidi="pl-PL"/>
        </w:rPr>
        <w:t xml:space="preserve">Odporność na ścieranie </w:t>
      </w:r>
    </w:p>
    <w:p w14:paraId="1FAEEBC7"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eastAsia="Arial" w:hAnsi="Arial" w:cs="Arial"/>
          <w:lang w:bidi="pl-PL"/>
        </w:rPr>
        <w:t xml:space="preserve">Przenoszenie wartości kolorymetrycznej odcieni </w:t>
      </w:r>
    </w:p>
    <w:p w14:paraId="1497EEF6"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eastAsia="Arial" w:hAnsi="Arial" w:cs="Arial"/>
          <w:lang w:bidi="pl-PL"/>
        </w:rPr>
        <w:t xml:space="preserve">Ograniczenia reprodukcji wartości tonalnej </w:t>
      </w:r>
    </w:p>
    <w:p w14:paraId="23B719A7"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eastAsia="Arial" w:hAnsi="Arial" w:cs="Arial"/>
          <w:lang w:bidi="pl-PL"/>
        </w:rPr>
        <w:t xml:space="preserve">Rejestr obrazu i zdolność rozdzielcza </w:t>
      </w:r>
    </w:p>
    <w:p w14:paraId="425FDDAE" w14:textId="77777777" w:rsidR="00235FBD" w:rsidRP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eastAsia="Arial" w:hAnsi="Arial" w:cs="Arial"/>
          <w:lang w:bidi="pl-PL"/>
        </w:rPr>
        <w:t xml:space="preserve">Informacje o marginesie </w:t>
      </w:r>
    </w:p>
    <w:p w14:paraId="72C83705" w14:textId="77777777" w:rsidR="00F81A8F" w:rsidRDefault="00F81A8F" w:rsidP="00D748E1">
      <w:pPr>
        <w:spacing w:line="360" w:lineRule="auto"/>
        <w:ind w:right="180"/>
        <w:jc w:val="both"/>
        <w:rPr>
          <w:rFonts w:ascii="Arial" w:hAnsi="Arial" w:cs="Arial"/>
          <w:color w:val="000000" w:themeColor="text1"/>
        </w:rPr>
      </w:pPr>
      <w:r>
        <w:rPr>
          <w:rFonts w:ascii="Arial" w:eastAsia="Arial" w:hAnsi="Arial" w:cs="Arial"/>
          <w:color w:val="000000" w:themeColor="text1"/>
          <w:lang w:bidi="pl-PL"/>
        </w:rPr>
        <w:br/>
        <w:t xml:space="preserve">W testach przeprowadzonych na powlekanych i niepowlekanych materiałach offsetowych, powlekanym papierze do drukarek </w:t>
      </w:r>
      <w:r>
        <w:rPr>
          <w:rFonts w:ascii="Arial" w:eastAsia="Arial" w:hAnsi="Arial" w:cs="Arial"/>
          <w:color w:val="000000" w:themeColor="text1"/>
          <w:lang w:bidi="pl-PL"/>
        </w:rPr>
        <w:lastRenderedPageBreak/>
        <w:t xml:space="preserve">atramentowych, płótnie i papierze syntetycznym maszyna Jet Press konsekwentnie spełniała lub przekraczała wymagane normy. </w:t>
      </w:r>
    </w:p>
    <w:p w14:paraId="361DD358" w14:textId="77A72E8A" w:rsidR="00F230CF" w:rsidRPr="00F230CF" w:rsidRDefault="00F230CF" w:rsidP="00F230C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„Byliśmy pod wrażeniem spójności i jakości wyników uzyskanych przez maszynę Jet Press 750S” — mówi Yuan Li z Fogra Research Institute for Media Technologies. „Tylko systemy drukowania o najwyższym poziomie wydajności mogą pozytywnie przejść takie testy”. </w:t>
      </w:r>
    </w:p>
    <w:p w14:paraId="7334F6BB" w14:textId="2799A69C" w:rsidR="00844E5C" w:rsidRDefault="00F230CF" w:rsidP="00D748E1">
      <w:pPr>
        <w:spacing w:line="360" w:lineRule="auto"/>
        <w:ind w:right="180"/>
        <w:jc w:val="both"/>
        <w:rPr>
          <w:rFonts w:ascii="Arial" w:hAnsi="Arial" w:cs="Arial"/>
          <w:color w:val="000000" w:themeColor="text1"/>
        </w:rPr>
      </w:pPr>
      <w:r>
        <w:rPr>
          <w:rFonts w:ascii="Arial" w:eastAsia="Arial" w:hAnsi="Arial" w:cs="Arial"/>
          <w:color w:val="000000" w:themeColor="text1"/>
          <w:lang w:bidi="pl-PL"/>
        </w:rPr>
        <w:t>Mark Stephenson, menedżer produktu w Digital Printing and Press Systems, Fujifilm Graphic Systems EMEA, mówi, że firma Fujifilm jest zachwycona, ale nie zaskoczona wynikami. „Od pewnego czasu, szczególnie na rynku japońskim, maszyna Jet Press odnosiła znaczące sukcesy jako urządzenie do proofu” — wyjaśnia. Oczywiście maszyna oferuje dużo więcej, ale zauważyliśmy, że w Japonii zastępuje ona proces proofu na mokro, głównie dlatego, że drukarnie offsetowe szybko dostrzegły jej potencjał do tworzenia szybkich i bardzo wysokiej jakości proofów dla wieloseryjnych zadań offsetowych.</w:t>
      </w:r>
    </w:p>
    <w:p w14:paraId="28190426" w14:textId="73051422" w:rsidR="00B1017D" w:rsidRDefault="00F81A8F" w:rsidP="00D748E1">
      <w:pPr>
        <w:spacing w:line="360" w:lineRule="auto"/>
        <w:ind w:right="180"/>
        <w:jc w:val="both"/>
        <w:rPr>
          <w:rFonts w:ascii="Arial" w:hAnsi="Arial" w:cs="Arial"/>
          <w:color w:val="000000" w:themeColor="text1"/>
        </w:rPr>
      </w:pPr>
      <w:r>
        <w:rPr>
          <w:rFonts w:ascii="Arial" w:eastAsia="Arial" w:hAnsi="Arial" w:cs="Arial"/>
          <w:color w:val="000000" w:themeColor="text1"/>
          <w:lang w:bidi="pl-PL"/>
        </w:rPr>
        <w:t>„Certyfikat Fogra potwierdza bardzo wysoki standard spójności oraz dokładności odwzorowania barw osiągany przez maszynę Jet Press i cieszymy się, że otrzymała ona oficjalną pieczęć urzędową. Jesteśmy przekonani, że ten certyfikat daje maszynie Jet Press 750S uzasadnione prawo do tytułu zarówno najszybszego na świecie urządzenia do proofu kontraktowego, jak i jedynej na świecie certyfikowanej maszyny produkcyjnej do proofu kontraktowego”.</w:t>
      </w:r>
    </w:p>
    <w:p w14:paraId="5C581B32" w14:textId="39D1445E" w:rsidR="005A4FE1" w:rsidRDefault="005A4FE1" w:rsidP="005A4FE1">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Co więcej, potwierdzając dokładność odwzorowania kolorów w maszynie Jet Press 750S, otrzymała ona także certyfikat Digital Press oraz certyfikat ISO/PAS 15339 Master Elite od zajmującego się grafiką amerykańskiego think tanku Idealliance. Żadne inne czterokolorowe urządzenie cyfrowe (oprócz Jet Press 720S firmy Fujifilm) nie ma obu tych akredytacji. </w:t>
      </w:r>
    </w:p>
    <w:p w14:paraId="62C100C4" w14:textId="77777777" w:rsidR="00C970AE" w:rsidRDefault="00C970AE"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Więcej informacji o maszynie Jet Press 750S można znaleźć na stronie: </w:t>
      </w:r>
      <w:hyperlink r:id="rId10" w:history="1">
        <w:r w:rsidRPr="00B04A16">
          <w:rPr>
            <w:rStyle w:val="Hyperlink"/>
            <w:rFonts w:ascii="Arial" w:eastAsia="Arial" w:hAnsi="Arial" w:cs="Arial"/>
            <w:lang w:bidi="pl-PL"/>
          </w:rPr>
          <w:t>www.imagineinkjet.com</w:t>
        </w:r>
      </w:hyperlink>
      <w:r>
        <w:rPr>
          <w:rFonts w:ascii="Arial" w:eastAsia="Arial" w:hAnsi="Arial" w:cs="Arial"/>
          <w:color w:val="000000" w:themeColor="text1"/>
          <w:lang w:bidi="pl-PL"/>
        </w:rPr>
        <w:t xml:space="preserve"> </w:t>
      </w:r>
    </w:p>
    <w:p w14:paraId="21474CAD" w14:textId="77777777" w:rsidR="00A36A67" w:rsidRDefault="00A36A67" w:rsidP="00A36A67">
      <w:pPr>
        <w:spacing w:line="360" w:lineRule="auto"/>
        <w:ind w:right="180"/>
        <w:jc w:val="both"/>
        <w:rPr>
          <w:rFonts w:ascii="Arial" w:hAnsi="Arial" w:cs="Arial"/>
          <w:color w:val="000000" w:themeColor="text1"/>
        </w:rPr>
      </w:pPr>
    </w:p>
    <w:p w14:paraId="554212BA" w14:textId="1E692DEF" w:rsidR="00C03ED1" w:rsidRDefault="000613BD" w:rsidP="00895186">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38700F50" w14:textId="77777777" w:rsidR="008F5FE0" w:rsidRDefault="008F5FE0" w:rsidP="00895186">
      <w:pPr>
        <w:spacing w:line="360" w:lineRule="auto"/>
        <w:jc w:val="center"/>
        <w:rPr>
          <w:rFonts w:ascii="Arial" w:eastAsia="Arial" w:hAnsi="Arial" w:cs="Arial"/>
          <w:b/>
          <w:color w:val="000000" w:themeColor="text1"/>
          <w:lang w:bidi="pl-PL"/>
        </w:rPr>
      </w:pPr>
    </w:p>
    <w:p w14:paraId="1FC7DD3F" w14:textId="3BECD9E7" w:rsidR="008F5FE0" w:rsidRDefault="008F5FE0" w:rsidP="00895186">
      <w:pPr>
        <w:spacing w:line="360" w:lineRule="auto"/>
        <w:jc w:val="center"/>
        <w:rPr>
          <w:rFonts w:ascii="Arial" w:hAnsi="Arial" w:cs="Arial"/>
          <w:b/>
          <w:color w:val="000000" w:themeColor="text1"/>
        </w:rPr>
      </w:pPr>
    </w:p>
    <w:p w14:paraId="3F5B0E94" w14:textId="77777777" w:rsidR="008F5FE0" w:rsidRPr="003D0DE6" w:rsidRDefault="008F5FE0" w:rsidP="008F5FE0">
      <w:pPr>
        <w:tabs>
          <w:tab w:val="center" w:pos="3691"/>
        </w:tabs>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O FUJIFILM Corporation</w:t>
      </w:r>
      <w:r w:rsidRPr="003D0DE6">
        <w:rPr>
          <w:rFonts w:ascii="Arial" w:eastAsia="Arial" w:hAnsi="Arial" w:cs="Arial"/>
          <w:b/>
          <w:color w:val="000000" w:themeColor="text1"/>
          <w:lang w:bidi="pl-PL"/>
        </w:rPr>
        <w:tab/>
      </w:r>
    </w:p>
    <w:p w14:paraId="234B1A89" w14:textId="77777777" w:rsidR="008F5FE0" w:rsidRPr="003D0DE6" w:rsidRDefault="008F5FE0" w:rsidP="008F5FE0">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1345BA49" w14:textId="77777777" w:rsidR="008F5FE0" w:rsidRPr="003D0DE6" w:rsidRDefault="008F5FE0" w:rsidP="008F5FE0">
      <w:pPr>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 xml:space="preserve">O Fujifilm Graphic Systems </w:t>
      </w:r>
    </w:p>
    <w:p w14:paraId="7508450E" w14:textId="77777777" w:rsidR="008F5FE0" w:rsidRPr="003D0DE6" w:rsidRDefault="008F5FE0" w:rsidP="008F5FE0">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history="1">
        <w:r w:rsidRPr="003D0DE6">
          <w:rPr>
            <w:rStyle w:val="Hyperlink"/>
            <w:rFonts w:ascii="Arial" w:eastAsia="Arial" w:hAnsi="Arial" w:cs="Arial"/>
            <w:color w:val="000000" w:themeColor="text1"/>
            <w:lang w:bidi="pl-PL"/>
          </w:rPr>
          <w:t>www.fujifilm.eu/eu/products/graphic-systems/</w:t>
        </w:r>
      </w:hyperlink>
      <w:r w:rsidRPr="003D0DE6">
        <w:rPr>
          <w:rFonts w:ascii="Arial" w:eastAsia="Arial" w:hAnsi="Arial" w:cs="Arial"/>
          <w:color w:val="000000" w:themeColor="text1"/>
          <w:lang w:bidi="pl-PL"/>
        </w:rPr>
        <w:t xml:space="preserve">, </w:t>
      </w:r>
      <w:hyperlink r:id="rId12" w:history="1">
        <w:r w:rsidRPr="003D0DE6">
          <w:rPr>
            <w:rStyle w:val="Hyperlink"/>
            <w:rFonts w:ascii="Arial" w:eastAsia="Arial" w:hAnsi="Arial" w:cs="Arial"/>
            <w:color w:val="000000" w:themeColor="text1"/>
            <w:lang w:bidi="pl-PL"/>
          </w:rPr>
          <w:t>www.youtube.com/FujifilmGSEurope</w:t>
        </w:r>
      </w:hyperlink>
      <w:r w:rsidRPr="003D0DE6">
        <w:rPr>
          <w:rFonts w:ascii="Arial" w:eastAsia="Arial" w:hAnsi="Arial" w:cs="Arial"/>
          <w:color w:val="000000" w:themeColor="text1"/>
          <w:lang w:bidi="pl-PL"/>
        </w:rPr>
        <w:t xml:space="preserve"> lub śledząc nas na @FujifilmPrint</w:t>
      </w:r>
    </w:p>
    <w:p w14:paraId="594E0F50" w14:textId="77777777" w:rsidR="008F5FE0" w:rsidRPr="003D0DE6" w:rsidRDefault="008F5FE0" w:rsidP="008F5FE0">
      <w:pPr>
        <w:spacing w:after="0" w:line="240" w:lineRule="auto"/>
        <w:jc w:val="both"/>
        <w:rPr>
          <w:rFonts w:ascii="Arial" w:hAnsi="Arial" w:cs="Arial"/>
          <w:b/>
          <w:color w:val="000000" w:themeColor="text1"/>
        </w:rPr>
      </w:pPr>
    </w:p>
    <w:p w14:paraId="22AE5930" w14:textId="77777777" w:rsidR="008F5FE0" w:rsidRPr="003D0DE6" w:rsidRDefault="008F5FE0" w:rsidP="008F5FE0">
      <w:pPr>
        <w:spacing w:after="0" w:line="240" w:lineRule="auto"/>
        <w:jc w:val="both"/>
        <w:rPr>
          <w:rFonts w:ascii="Arial" w:hAnsi="Arial" w:cs="Arial"/>
          <w:b/>
          <w:color w:val="000000" w:themeColor="text1"/>
        </w:rPr>
      </w:pPr>
      <w:r w:rsidRPr="003D0DE6">
        <w:rPr>
          <w:rFonts w:ascii="Arial" w:eastAsia="Arial" w:hAnsi="Arial" w:cs="Arial"/>
          <w:b/>
          <w:color w:val="000000" w:themeColor="text1"/>
          <w:lang w:bidi="pl-PL"/>
        </w:rPr>
        <w:t>Dodatkowe informacje:</w:t>
      </w:r>
    </w:p>
    <w:p w14:paraId="15A05A36" w14:textId="77777777" w:rsidR="008F5FE0" w:rsidRPr="003D0DE6" w:rsidRDefault="008F5FE0" w:rsidP="008F5FE0">
      <w:pPr>
        <w:spacing w:after="0" w:line="240" w:lineRule="auto"/>
        <w:jc w:val="both"/>
        <w:rPr>
          <w:rFonts w:ascii="Arial" w:hAnsi="Arial" w:cs="Arial"/>
          <w:b/>
          <w:color w:val="000000" w:themeColor="text1"/>
        </w:rPr>
      </w:pPr>
    </w:p>
    <w:p w14:paraId="43B17FF1" w14:textId="77777777" w:rsidR="008F5FE0" w:rsidRPr="003D0DE6" w:rsidRDefault="008F5FE0" w:rsidP="008F5FE0">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Daniel Porter</w:t>
      </w:r>
    </w:p>
    <w:p w14:paraId="0B860E7B" w14:textId="77777777" w:rsidR="008F5FE0" w:rsidRPr="003D0DE6" w:rsidRDefault="008F5FE0" w:rsidP="008F5FE0">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AD Communications</w:t>
      </w:r>
      <w:r w:rsidRPr="003D0DE6">
        <w:rPr>
          <w:rFonts w:ascii="Arial" w:eastAsia="Arial" w:hAnsi="Arial" w:cs="Arial"/>
          <w:color w:val="000000" w:themeColor="text1"/>
          <w:kern w:val="2"/>
          <w:lang w:bidi="pl-PL"/>
        </w:rPr>
        <w:tab/>
      </w:r>
    </w:p>
    <w:p w14:paraId="30E63490" w14:textId="77777777" w:rsidR="008F5FE0" w:rsidRPr="003D0DE6" w:rsidRDefault="008F5FE0" w:rsidP="008F5FE0">
      <w:pPr>
        <w:spacing w:after="0" w:line="240" w:lineRule="auto"/>
        <w:jc w:val="both"/>
        <w:rPr>
          <w:rFonts w:ascii="Arial" w:hAnsi="Arial" w:cs="Arial"/>
          <w:color w:val="000000" w:themeColor="text1"/>
          <w:kern w:val="2"/>
        </w:rPr>
      </w:pPr>
      <w:r w:rsidRPr="003D0DE6">
        <w:rPr>
          <w:rFonts w:ascii="Arial" w:eastAsia="Arial" w:hAnsi="Arial" w:cs="Arial"/>
          <w:color w:val="000000" w:themeColor="text1"/>
          <w:kern w:val="2"/>
          <w:lang w:bidi="pl-PL"/>
        </w:rPr>
        <w:t xml:space="preserve">E-mail: </w:t>
      </w:r>
      <w:hyperlink r:id="rId13" w:history="1">
        <w:r w:rsidRPr="003D0DE6">
          <w:rPr>
            <w:rStyle w:val="Hyperlink"/>
            <w:rFonts w:ascii="Arial" w:eastAsia="Arial" w:hAnsi="Arial" w:cs="Arial"/>
            <w:color w:val="000000" w:themeColor="text1"/>
            <w:kern w:val="2"/>
            <w:lang w:bidi="pl-PL"/>
          </w:rPr>
          <w:t>dporter@adcomms.co.uk</w:t>
        </w:r>
      </w:hyperlink>
    </w:p>
    <w:p w14:paraId="0A7B54C7" w14:textId="77777777" w:rsidR="008F5FE0" w:rsidRPr="003D0DE6" w:rsidRDefault="008F5FE0" w:rsidP="008F5FE0">
      <w:pPr>
        <w:spacing w:line="240" w:lineRule="auto"/>
        <w:jc w:val="both"/>
        <w:rPr>
          <w:rFonts w:ascii="Arial" w:hAnsi="Arial" w:cs="Arial"/>
          <w:color w:val="000000" w:themeColor="text1"/>
        </w:rPr>
      </w:pPr>
      <w:r w:rsidRPr="003D0DE6">
        <w:rPr>
          <w:rFonts w:ascii="Arial" w:eastAsia="Arial" w:hAnsi="Arial" w:cs="Arial"/>
          <w:color w:val="000000" w:themeColor="text1"/>
          <w:kern w:val="2"/>
          <w:lang w:bidi="pl-PL"/>
        </w:rPr>
        <w:t>Tel.: +44 (0)1372 464470</w:t>
      </w:r>
    </w:p>
    <w:p w14:paraId="322476C3" w14:textId="77777777" w:rsidR="008F5FE0" w:rsidRPr="00895186" w:rsidRDefault="008F5FE0" w:rsidP="00895186">
      <w:pPr>
        <w:spacing w:line="360" w:lineRule="auto"/>
        <w:jc w:val="center"/>
        <w:rPr>
          <w:rFonts w:ascii="Arial" w:hAnsi="Arial" w:cs="Arial"/>
          <w:b/>
          <w:color w:val="000000" w:themeColor="text1"/>
        </w:rPr>
      </w:pPr>
    </w:p>
    <w:sectPr w:rsidR="008F5FE0" w:rsidRPr="0089518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615B" w14:textId="77777777" w:rsidR="007033B1" w:rsidRDefault="007033B1" w:rsidP="00155739">
      <w:pPr>
        <w:spacing w:after="0" w:line="240" w:lineRule="auto"/>
      </w:pPr>
      <w:r>
        <w:separator/>
      </w:r>
    </w:p>
  </w:endnote>
  <w:endnote w:type="continuationSeparator" w:id="0">
    <w:p w14:paraId="48006FCC" w14:textId="77777777" w:rsidR="007033B1" w:rsidRDefault="007033B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406C" w14:textId="77777777" w:rsidR="007033B1" w:rsidRDefault="007033B1" w:rsidP="00155739">
      <w:pPr>
        <w:spacing w:after="0" w:line="240" w:lineRule="auto"/>
      </w:pPr>
      <w:r>
        <w:separator/>
      </w:r>
    </w:p>
  </w:footnote>
  <w:footnote w:type="continuationSeparator" w:id="0">
    <w:p w14:paraId="6C81D988" w14:textId="77777777" w:rsidR="007033B1" w:rsidRDefault="007033B1"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5BBD" w14:textId="64C39E05" w:rsidR="00444D1C" w:rsidRDefault="00444D1C" w:rsidP="00444D1C">
    <w:pPr>
      <w:pStyle w:val="Header"/>
    </w:pPr>
    <w:r>
      <w:rPr>
        <w:b/>
        <w:noProof/>
        <w:lang w:val="en-GB" w:eastAsia="en-GB"/>
      </w:rPr>
      <w:drawing>
        <wp:anchor distT="0" distB="0" distL="114300" distR="114300" simplePos="0" relativeHeight="251661824" behindDoc="1" locked="0" layoutInCell="1" allowOverlap="1" wp14:anchorId="342DF9F6" wp14:editId="62DB15A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A29F7" w14:textId="14E3051A" w:rsidR="00444D1C" w:rsidRDefault="00444D1C" w:rsidP="00444D1C">
    <w:pPr>
      <w:pStyle w:val="Header"/>
    </w:pPr>
  </w:p>
  <w:p w14:paraId="0E38CD70" w14:textId="77777777" w:rsidR="00444D1C" w:rsidRDefault="00444D1C" w:rsidP="00444D1C">
    <w:pPr>
      <w:pStyle w:val="Header"/>
    </w:pPr>
  </w:p>
  <w:p w14:paraId="5CEED1DC" w14:textId="11728BDE" w:rsidR="00444D1C" w:rsidRDefault="00444D1C">
    <w:pPr>
      <w:pStyle w:val="Header"/>
    </w:pPr>
    <w:r>
      <w:rPr>
        <w:noProof/>
        <w:lang w:val="en-GB" w:eastAsia="en-GB"/>
      </w:rPr>
      <mc:AlternateContent>
        <mc:Choice Requires="wps">
          <w:drawing>
            <wp:anchor distT="0" distB="0" distL="114300" distR="114300" simplePos="0" relativeHeight="251658752" behindDoc="0" locked="0" layoutInCell="1" allowOverlap="1" wp14:anchorId="09DA85DB" wp14:editId="11EDAD5D">
              <wp:simplePos x="0" y="0"/>
              <wp:positionH relativeFrom="page">
                <wp:posOffset>0</wp:posOffset>
              </wp:positionH>
              <wp:positionV relativeFrom="paragraph">
                <wp:posOffset>208915</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1ABD" id="Rectangle 2" o:spid="_x0000_s1026" style="position:absolute;margin-left:0;margin-top:16.45pt;width:603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" fillcolor="#209772" stroked="f">
              <w10:wrap anchorx="page"/>
            </v:rect>
          </w:pict>
        </mc:Fallback>
      </mc:AlternateContent>
    </w:r>
  </w:p>
  <w:p w14:paraId="0E04E57B" w14:textId="4985148F"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B3B0B"/>
    <w:multiLevelType w:val="hybridMultilevel"/>
    <w:tmpl w:val="CCA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44F2"/>
    <w:rsid w:val="00035B40"/>
    <w:rsid w:val="00036BEA"/>
    <w:rsid w:val="00037E1E"/>
    <w:rsid w:val="00042891"/>
    <w:rsid w:val="00044F97"/>
    <w:rsid w:val="00051107"/>
    <w:rsid w:val="00053C42"/>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B3029"/>
    <w:rsid w:val="000D1148"/>
    <w:rsid w:val="000D3D6C"/>
    <w:rsid w:val="000E0491"/>
    <w:rsid w:val="000E749F"/>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073EB"/>
    <w:rsid w:val="00216E7C"/>
    <w:rsid w:val="00226571"/>
    <w:rsid w:val="00226F17"/>
    <w:rsid w:val="0023478D"/>
    <w:rsid w:val="00235FBD"/>
    <w:rsid w:val="00236C20"/>
    <w:rsid w:val="00240E4A"/>
    <w:rsid w:val="00243156"/>
    <w:rsid w:val="002601FF"/>
    <w:rsid w:val="00263C2D"/>
    <w:rsid w:val="00264B7E"/>
    <w:rsid w:val="0027785E"/>
    <w:rsid w:val="00277C08"/>
    <w:rsid w:val="00287267"/>
    <w:rsid w:val="00292508"/>
    <w:rsid w:val="00292BA6"/>
    <w:rsid w:val="00292D35"/>
    <w:rsid w:val="002A2538"/>
    <w:rsid w:val="002A39E6"/>
    <w:rsid w:val="002D7F83"/>
    <w:rsid w:val="002E1BD8"/>
    <w:rsid w:val="002F7105"/>
    <w:rsid w:val="00301CA0"/>
    <w:rsid w:val="00312B29"/>
    <w:rsid w:val="0032479E"/>
    <w:rsid w:val="00324E6C"/>
    <w:rsid w:val="00325CF2"/>
    <w:rsid w:val="00327C2E"/>
    <w:rsid w:val="00342DD9"/>
    <w:rsid w:val="00345475"/>
    <w:rsid w:val="00346299"/>
    <w:rsid w:val="003470AF"/>
    <w:rsid w:val="00352130"/>
    <w:rsid w:val="00353920"/>
    <w:rsid w:val="00355A6C"/>
    <w:rsid w:val="00361A11"/>
    <w:rsid w:val="00365004"/>
    <w:rsid w:val="003703B8"/>
    <w:rsid w:val="00392CB5"/>
    <w:rsid w:val="003A3CA6"/>
    <w:rsid w:val="003B4FF2"/>
    <w:rsid w:val="003B6EB0"/>
    <w:rsid w:val="003C0327"/>
    <w:rsid w:val="003C1789"/>
    <w:rsid w:val="003C2C54"/>
    <w:rsid w:val="003C36BD"/>
    <w:rsid w:val="003D0DE6"/>
    <w:rsid w:val="003D1F12"/>
    <w:rsid w:val="003E3B7A"/>
    <w:rsid w:val="003E4EE8"/>
    <w:rsid w:val="003F30B4"/>
    <w:rsid w:val="004116E6"/>
    <w:rsid w:val="0041282E"/>
    <w:rsid w:val="004147CF"/>
    <w:rsid w:val="004203C0"/>
    <w:rsid w:val="00425CFE"/>
    <w:rsid w:val="004303A7"/>
    <w:rsid w:val="0043091A"/>
    <w:rsid w:val="0043176D"/>
    <w:rsid w:val="00437F9F"/>
    <w:rsid w:val="00444386"/>
    <w:rsid w:val="00444949"/>
    <w:rsid w:val="00444D1C"/>
    <w:rsid w:val="00447BBA"/>
    <w:rsid w:val="00450EC0"/>
    <w:rsid w:val="00454ED8"/>
    <w:rsid w:val="00456BAD"/>
    <w:rsid w:val="00467E9E"/>
    <w:rsid w:val="00476861"/>
    <w:rsid w:val="00480A29"/>
    <w:rsid w:val="00480BE4"/>
    <w:rsid w:val="00483AED"/>
    <w:rsid w:val="00486F04"/>
    <w:rsid w:val="004906C9"/>
    <w:rsid w:val="004937AB"/>
    <w:rsid w:val="00494E0C"/>
    <w:rsid w:val="004A26E0"/>
    <w:rsid w:val="004A46C0"/>
    <w:rsid w:val="004A7C69"/>
    <w:rsid w:val="004C70B6"/>
    <w:rsid w:val="004D560A"/>
    <w:rsid w:val="004D76FF"/>
    <w:rsid w:val="004F1892"/>
    <w:rsid w:val="005110FF"/>
    <w:rsid w:val="00512744"/>
    <w:rsid w:val="00522766"/>
    <w:rsid w:val="00531E42"/>
    <w:rsid w:val="005327B8"/>
    <w:rsid w:val="005366F5"/>
    <w:rsid w:val="0053683D"/>
    <w:rsid w:val="005420B5"/>
    <w:rsid w:val="0054449B"/>
    <w:rsid w:val="0055164D"/>
    <w:rsid w:val="00563530"/>
    <w:rsid w:val="00564DC8"/>
    <w:rsid w:val="00572394"/>
    <w:rsid w:val="0058796F"/>
    <w:rsid w:val="005955EB"/>
    <w:rsid w:val="005A1ECD"/>
    <w:rsid w:val="005A4FE1"/>
    <w:rsid w:val="005B254C"/>
    <w:rsid w:val="005B2E86"/>
    <w:rsid w:val="005B7443"/>
    <w:rsid w:val="005C4CAE"/>
    <w:rsid w:val="005D10AE"/>
    <w:rsid w:val="005D3FA3"/>
    <w:rsid w:val="005E322E"/>
    <w:rsid w:val="005F16A3"/>
    <w:rsid w:val="005F59A7"/>
    <w:rsid w:val="0061045B"/>
    <w:rsid w:val="00614F0B"/>
    <w:rsid w:val="006166AA"/>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33B1"/>
    <w:rsid w:val="00704114"/>
    <w:rsid w:val="00706020"/>
    <w:rsid w:val="00706B37"/>
    <w:rsid w:val="007126FB"/>
    <w:rsid w:val="00715333"/>
    <w:rsid w:val="0072126A"/>
    <w:rsid w:val="00722A37"/>
    <w:rsid w:val="00723A46"/>
    <w:rsid w:val="00755A43"/>
    <w:rsid w:val="00756DE2"/>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4E5C"/>
    <w:rsid w:val="008463CB"/>
    <w:rsid w:val="00847B7F"/>
    <w:rsid w:val="00847BEB"/>
    <w:rsid w:val="00867A61"/>
    <w:rsid w:val="00884229"/>
    <w:rsid w:val="00893054"/>
    <w:rsid w:val="008944C2"/>
    <w:rsid w:val="00895186"/>
    <w:rsid w:val="008971CC"/>
    <w:rsid w:val="00897C66"/>
    <w:rsid w:val="008A0672"/>
    <w:rsid w:val="008A2095"/>
    <w:rsid w:val="008A6388"/>
    <w:rsid w:val="008B1815"/>
    <w:rsid w:val="008F2305"/>
    <w:rsid w:val="008F5FE0"/>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017D"/>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BF5BCB"/>
    <w:rsid w:val="00BF5C5B"/>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2920"/>
    <w:rsid w:val="00CB42FC"/>
    <w:rsid w:val="00CB469B"/>
    <w:rsid w:val="00CC057F"/>
    <w:rsid w:val="00CC632C"/>
    <w:rsid w:val="00CE0B66"/>
    <w:rsid w:val="00CE383E"/>
    <w:rsid w:val="00CE41DB"/>
    <w:rsid w:val="00CE42C9"/>
    <w:rsid w:val="00CF2A7F"/>
    <w:rsid w:val="00D06955"/>
    <w:rsid w:val="00D23236"/>
    <w:rsid w:val="00D238B6"/>
    <w:rsid w:val="00D24FE4"/>
    <w:rsid w:val="00D44EFD"/>
    <w:rsid w:val="00D46291"/>
    <w:rsid w:val="00D521FF"/>
    <w:rsid w:val="00D56CE8"/>
    <w:rsid w:val="00D60404"/>
    <w:rsid w:val="00D63E79"/>
    <w:rsid w:val="00D748E1"/>
    <w:rsid w:val="00D753ED"/>
    <w:rsid w:val="00D909E8"/>
    <w:rsid w:val="00D9489E"/>
    <w:rsid w:val="00D94AF8"/>
    <w:rsid w:val="00DA7E91"/>
    <w:rsid w:val="00DB52B2"/>
    <w:rsid w:val="00DB6B93"/>
    <w:rsid w:val="00DB743D"/>
    <w:rsid w:val="00DD71C8"/>
    <w:rsid w:val="00E002C1"/>
    <w:rsid w:val="00E00922"/>
    <w:rsid w:val="00E012A3"/>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169BB"/>
    <w:rsid w:val="00F230CF"/>
    <w:rsid w:val="00F23741"/>
    <w:rsid w:val="00F25B85"/>
    <w:rsid w:val="00F329B7"/>
    <w:rsid w:val="00F46E30"/>
    <w:rsid w:val="00F5373C"/>
    <w:rsid w:val="00F569A1"/>
    <w:rsid w:val="00F65020"/>
    <w:rsid w:val="00F65ABE"/>
    <w:rsid w:val="00F70669"/>
    <w:rsid w:val="00F73AEC"/>
    <w:rsid w:val="00F755B3"/>
    <w:rsid w:val="00F7731F"/>
    <w:rsid w:val="00F81A8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300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46AC2245-12A6-4D29-B8CE-AF4960CC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163B3-2A7F-477B-B5DB-A30B9B098914}">
  <ds:schemaRefs>
    <ds:schemaRef ds:uri="http://schemas.microsoft.com/sharepoint/v3/contenttype/forms"/>
  </ds:schemaRefs>
</ds:datastoreItem>
</file>

<file path=customXml/itemProps3.xml><?xml version="1.0" encoding="utf-8"?>
<ds:datastoreItem xmlns:ds="http://schemas.openxmlformats.org/officeDocument/2006/customXml" ds:itemID="{F17C6E90-70D2-4B29-842E-09356589E75C}">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2020-02-14T11:31:00Z</dcterms:created>
  <dcterms:modified xsi:type="dcterms:W3CDTF">2020-02-14T11:31:00Z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