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C0A8E" w14:textId="77777777" w:rsidR="00C07E0E" w:rsidRDefault="00C07E0E" w:rsidP="00C0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de-CH" w:eastAsia="de-CH"/>
        </w:rPr>
        <w:drawing>
          <wp:inline distT="0" distB="0" distL="0" distR="0" wp14:anchorId="614711E0" wp14:editId="7E85ADB7">
            <wp:extent cx="1676400" cy="533400"/>
            <wp:effectExtent l="0" t="0" r="0" b="0"/>
            <wp:docPr id="2" name="Picture 2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DC1C8" w14:textId="77777777" w:rsidR="00C07E0E" w:rsidRDefault="00C07E0E" w:rsidP="00C0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FC11E" w14:textId="77777777" w:rsidR="00C07E0E" w:rsidRDefault="00C07E0E" w:rsidP="00C07E0E">
      <w:pPr>
        <w:spacing w:after="0" w:line="240" w:lineRule="auto"/>
        <w:rPr>
          <w:rFonts w:ascii="Times New Roman" w:hAnsi="Times New Roman" w:cs="Times New Roman"/>
          <w:color w:val="003399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de-CH" w:eastAsia="de-CH"/>
        </w:rPr>
        <w:drawing>
          <wp:inline distT="0" distB="0" distL="0" distR="0" wp14:anchorId="69664289" wp14:editId="131361C1">
            <wp:extent cx="5943600" cy="285750"/>
            <wp:effectExtent l="0" t="0" r="0" b="0"/>
            <wp:docPr id="1" name="Picture 1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05CDC" w14:textId="77777777" w:rsidR="00C07E0E" w:rsidRDefault="00C07E0E" w:rsidP="00C07E0E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4975044" w14:textId="77777777" w:rsidR="00C07E0E" w:rsidRDefault="00C07E0E" w:rsidP="00C07E0E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PR Contacts:                                              </w:t>
      </w:r>
    </w:p>
    <w:p w14:paraId="4BEF3391" w14:textId="77777777" w:rsidR="00C07E0E" w:rsidRPr="00C07E0E" w:rsidRDefault="00C07E0E" w:rsidP="00C07E0E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C07E0E">
        <w:rPr>
          <w:rFonts w:ascii="Arial" w:hAnsi="Arial" w:cs="Arial"/>
          <w:sz w:val="20"/>
          <w:szCs w:val="20"/>
          <w:lang w:val="en-GB"/>
        </w:rPr>
        <w:t>Heather Buchholz, Sun Chemical                       Matt Parry, Mower</w:t>
      </w:r>
    </w:p>
    <w:p w14:paraId="329A2CF9" w14:textId="77777777" w:rsidR="00C07E0E" w:rsidRPr="00C07E0E" w:rsidRDefault="00C07E0E" w:rsidP="00C07E0E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C07E0E">
        <w:rPr>
          <w:rFonts w:ascii="Arial" w:hAnsi="Arial" w:cs="Arial"/>
          <w:sz w:val="20"/>
          <w:szCs w:val="20"/>
          <w:lang w:val="en-GB"/>
        </w:rPr>
        <w:t>+1 708 236 3779                                                +1 315 413 4318</w:t>
      </w:r>
    </w:p>
    <w:p w14:paraId="5FBC2A7E" w14:textId="77777777" w:rsidR="00C07E0E" w:rsidRDefault="00751091" w:rsidP="00C07E0E">
      <w:pPr>
        <w:spacing w:after="0" w:line="240" w:lineRule="auto"/>
        <w:rPr>
          <w:sz w:val="20"/>
          <w:szCs w:val="20"/>
        </w:rPr>
      </w:pPr>
      <w:hyperlink r:id="rId10" w:history="1">
        <w:r w:rsidR="00C07E0E" w:rsidRPr="0001486C">
          <w:rPr>
            <w:rStyle w:val="Hyperlink"/>
            <w:rFonts w:ascii="Arial" w:hAnsi="Arial" w:cs="Arial"/>
            <w:color w:val="auto"/>
            <w:sz w:val="20"/>
            <w:szCs w:val="20"/>
            <w:lang w:val="en-GB"/>
          </w:rPr>
          <w:t>Heather.buchholz@sunchemical.com</w:t>
        </w:r>
      </w:hyperlink>
      <w:r w:rsidR="00C07E0E" w:rsidRPr="0001486C">
        <w:rPr>
          <w:rFonts w:ascii="Arial" w:hAnsi="Arial" w:cs="Arial"/>
          <w:sz w:val="20"/>
          <w:szCs w:val="20"/>
          <w:lang w:val="en-GB"/>
        </w:rPr>
        <w:t xml:space="preserve">                </w:t>
      </w:r>
      <w:hyperlink r:id="rId11" w:history="1">
        <w:r w:rsidR="00C07E0E" w:rsidRPr="00C07E0E">
          <w:rPr>
            <w:rStyle w:val="Hyperlink"/>
            <w:rFonts w:ascii="Arial" w:hAnsi="Arial" w:cs="Arial"/>
            <w:color w:val="auto"/>
            <w:sz w:val="20"/>
            <w:szCs w:val="20"/>
            <w:lang w:val="en-GB"/>
          </w:rPr>
          <w:t>mparry@mower.com</w:t>
        </w:r>
      </w:hyperlink>
      <w:r w:rsidR="008052B9">
        <w:rPr>
          <w:sz w:val="20"/>
          <w:szCs w:val="20"/>
        </w:rPr>
        <w:t xml:space="preserve"> </w:t>
      </w:r>
      <w:r w:rsidR="00C07E0E" w:rsidRPr="00C07E0E">
        <w:rPr>
          <w:sz w:val="20"/>
          <w:szCs w:val="20"/>
        </w:rPr>
        <w:t xml:space="preserve">  </w:t>
      </w:r>
    </w:p>
    <w:p w14:paraId="50B6FC0A" w14:textId="77777777" w:rsidR="00C07E0E" w:rsidRDefault="00C07E0E" w:rsidP="00C07E0E">
      <w:pPr>
        <w:spacing w:after="0" w:line="240" w:lineRule="auto"/>
        <w:rPr>
          <w:sz w:val="20"/>
          <w:szCs w:val="20"/>
        </w:rPr>
      </w:pPr>
    </w:p>
    <w:p w14:paraId="7996561E" w14:textId="053CC937" w:rsidR="00366078" w:rsidRDefault="00366078" w:rsidP="00C07E0E">
      <w:pPr>
        <w:spacing w:after="0" w:line="240" w:lineRule="auto"/>
        <w:jc w:val="center"/>
        <w:rPr>
          <w:rFonts w:ascii="Arial Black" w:hAnsi="Arial Black"/>
          <w:b/>
          <w:sz w:val="28"/>
          <w:szCs w:val="20"/>
        </w:rPr>
      </w:pPr>
      <w:r>
        <w:rPr>
          <w:rFonts w:ascii="Arial Black" w:hAnsi="Arial Black"/>
          <w:b/>
          <w:sz w:val="28"/>
          <w:szCs w:val="20"/>
        </w:rPr>
        <w:t xml:space="preserve">Sun Chemical Releases </w:t>
      </w:r>
      <w:r w:rsidR="00C23584">
        <w:rPr>
          <w:rFonts w:ascii="Arial Black" w:hAnsi="Arial Black"/>
          <w:b/>
          <w:sz w:val="28"/>
          <w:szCs w:val="20"/>
        </w:rPr>
        <w:t>Fall</w:t>
      </w:r>
      <w:r>
        <w:rPr>
          <w:rFonts w:ascii="Arial Black" w:hAnsi="Arial Black"/>
          <w:b/>
          <w:sz w:val="28"/>
          <w:szCs w:val="20"/>
        </w:rPr>
        <w:t xml:space="preserve"> 201</w:t>
      </w:r>
      <w:r w:rsidR="00B74B76">
        <w:rPr>
          <w:rFonts w:ascii="Arial Black" w:hAnsi="Arial Black"/>
          <w:b/>
          <w:sz w:val="28"/>
          <w:szCs w:val="20"/>
        </w:rPr>
        <w:t>9</w:t>
      </w:r>
      <w:r>
        <w:rPr>
          <w:rFonts w:ascii="Arial Black" w:hAnsi="Arial Black"/>
          <w:b/>
          <w:sz w:val="28"/>
          <w:szCs w:val="20"/>
        </w:rPr>
        <w:t xml:space="preserve"> Regulatory Newsletter</w:t>
      </w:r>
    </w:p>
    <w:p w14:paraId="0C1AE671" w14:textId="77777777" w:rsidR="00C07E0E" w:rsidRDefault="00C07E0E" w:rsidP="00C07E0E">
      <w:pPr>
        <w:spacing w:after="0" w:line="240" w:lineRule="auto"/>
        <w:rPr>
          <w:rFonts w:ascii="Arial Narrow" w:hAnsi="Arial Narrow"/>
          <w:b/>
          <w:sz w:val="24"/>
          <w:szCs w:val="20"/>
        </w:rPr>
      </w:pPr>
    </w:p>
    <w:p w14:paraId="7F074368" w14:textId="76ADFC4D" w:rsidR="009F3BDC" w:rsidRDefault="00C07E0E" w:rsidP="009F3BDC">
      <w:p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b/>
          <w:sz w:val="24"/>
          <w:szCs w:val="20"/>
        </w:rPr>
        <w:t xml:space="preserve">PARSIPPANY, N.J., USA </w:t>
      </w:r>
      <w:r>
        <w:rPr>
          <w:rFonts w:ascii="Arial Narrow" w:hAnsi="Arial Narrow"/>
          <w:sz w:val="24"/>
          <w:szCs w:val="20"/>
        </w:rPr>
        <w:t xml:space="preserve">– </w:t>
      </w:r>
      <w:r w:rsidR="00C23584">
        <w:rPr>
          <w:rFonts w:ascii="Arial Narrow" w:hAnsi="Arial Narrow"/>
          <w:sz w:val="24"/>
          <w:szCs w:val="20"/>
        </w:rPr>
        <w:t xml:space="preserve">October </w:t>
      </w:r>
      <w:r w:rsidR="00751091">
        <w:rPr>
          <w:rFonts w:ascii="Arial Narrow" w:hAnsi="Arial Narrow"/>
          <w:sz w:val="24"/>
          <w:szCs w:val="20"/>
        </w:rPr>
        <w:t>14</w:t>
      </w:r>
      <w:bookmarkStart w:id="0" w:name="_GoBack"/>
      <w:bookmarkEnd w:id="0"/>
      <w:r w:rsidRPr="00E932AD">
        <w:rPr>
          <w:rFonts w:ascii="Arial Narrow" w:hAnsi="Arial Narrow"/>
          <w:sz w:val="24"/>
          <w:szCs w:val="20"/>
        </w:rPr>
        <w:t>,</w:t>
      </w:r>
      <w:r>
        <w:rPr>
          <w:rFonts w:ascii="Arial Narrow" w:hAnsi="Arial Narrow"/>
          <w:sz w:val="24"/>
          <w:szCs w:val="20"/>
        </w:rPr>
        <w:t xml:space="preserve"> 201</w:t>
      </w:r>
      <w:r w:rsidR="00B74B76">
        <w:rPr>
          <w:rFonts w:ascii="Arial Narrow" w:hAnsi="Arial Narrow"/>
          <w:sz w:val="24"/>
          <w:szCs w:val="20"/>
        </w:rPr>
        <w:t>9</w:t>
      </w:r>
      <w:r>
        <w:rPr>
          <w:rFonts w:ascii="Arial Narrow" w:hAnsi="Arial Narrow"/>
          <w:sz w:val="24"/>
          <w:szCs w:val="20"/>
        </w:rPr>
        <w:t xml:space="preserve"> – </w:t>
      </w:r>
      <w:r w:rsidR="00366078">
        <w:rPr>
          <w:rFonts w:ascii="Arial Narrow" w:hAnsi="Arial Narrow"/>
          <w:sz w:val="24"/>
          <w:szCs w:val="20"/>
        </w:rPr>
        <w:t xml:space="preserve">Sun Chemical has released its </w:t>
      </w:r>
      <w:r w:rsidR="00C23584">
        <w:rPr>
          <w:rFonts w:ascii="Arial Narrow" w:hAnsi="Arial Narrow"/>
          <w:sz w:val="24"/>
          <w:szCs w:val="20"/>
        </w:rPr>
        <w:t>Fall</w:t>
      </w:r>
      <w:r w:rsidR="00366078">
        <w:rPr>
          <w:rFonts w:ascii="Arial Narrow" w:hAnsi="Arial Narrow"/>
          <w:sz w:val="24"/>
          <w:szCs w:val="20"/>
        </w:rPr>
        <w:t xml:space="preserve"> 201</w:t>
      </w:r>
      <w:r w:rsidR="00B74B76">
        <w:rPr>
          <w:rFonts w:ascii="Arial Narrow" w:hAnsi="Arial Narrow"/>
          <w:sz w:val="24"/>
          <w:szCs w:val="20"/>
        </w:rPr>
        <w:t>9</w:t>
      </w:r>
      <w:r w:rsidR="00366078">
        <w:rPr>
          <w:rFonts w:ascii="Arial Narrow" w:hAnsi="Arial Narrow"/>
          <w:sz w:val="24"/>
          <w:szCs w:val="20"/>
        </w:rPr>
        <w:t xml:space="preserve"> Regulatory Newsletter for customers and has made it, along with all other regulatory newsletters over the past </w:t>
      </w:r>
      <w:r w:rsidR="002E5760">
        <w:rPr>
          <w:rFonts w:ascii="Arial Narrow" w:hAnsi="Arial Narrow"/>
          <w:sz w:val="24"/>
          <w:szCs w:val="20"/>
        </w:rPr>
        <w:t>six</w:t>
      </w:r>
      <w:r w:rsidR="00366078">
        <w:rPr>
          <w:rFonts w:ascii="Arial Narrow" w:hAnsi="Arial Narrow"/>
          <w:sz w:val="24"/>
          <w:szCs w:val="20"/>
        </w:rPr>
        <w:t xml:space="preserve"> years</w:t>
      </w:r>
      <w:r w:rsidR="00652FDE">
        <w:rPr>
          <w:rFonts w:ascii="Arial Narrow" w:hAnsi="Arial Narrow"/>
          <w:sz w:val="24"/>
          <w:szCs w:val="20"/>
        </w:rPr>
        <w:t xml:space="preserve">, available for download at </w:t>
      </w:r>
      <w:hyperlink r:id="rId12" w:history="1">
        <w:r w:rsidR="00652FDE" w:rsidRPr="00780908">
          <w:rPr>
            <w:rStyle w:val="Hyperlink"/>
            <w:rFonts w:ascii="Arial Narrow" w:hAnsi="Arial Narrow"/>
            <w:sz w:val="24"/>
            <w:szCs w:val="20"/>
          </w:rPr>
          <w:t>www.sunchemical.com/regulatory</w:t>
        </w:r>
      </w:hyperlink>
      <w:r w:rsidR="007F0833">
        <w:rPr>
          <w:rFonts w:ascii="Arial Narrow" w:hAnsi="Arial Narrow"/>
          <w:sz w:val="24"/>
          <w:szCs w:val="20"/>
        </w:rPr>
        <w:t>.</w:t>
      </w:r>
    </w:p>
    <w:p w14:paraId="3818DAAF" w14:textId="7AD9BF0E" w:rsidR="00364F36" w:rsidRPr="00364F36" w:rsidRDefault="00652FDE" w:rsidP="009F3BDC">
      <w:pPr>
        <w:spacing w:line="240" w:lineRule="auto"/>
        <w:rPr>
          <w:rFonts w:ascii="Arial Narrow" w:hAnsi="Arial Narrow"/>
          <w:sz w:val="24"/>
          <w:szCs w:val="28"/>
        </w:rPr>
      </w:pPr>
      <w:r w:rsidRPr="00364F36">
        <w:rPr>
          <w:rFonts w:ascii="Arial Narrow" w:hAnsi="Arial Narrow"/>
          <w:sz w:val="24"/>
          <w:szCs w:val="20"/>
        </w:rPr>
        <w:t>“</w:t>
      </w:r>
      <w:r w:rsidR="006D23D9" w:rsidRPr="00364F36">
        <w:rPr>
          <w:rFonts w:ascii="Arial Narrow" w:hAnsi="Arial Narrow"/>
          <w:sz w:val="24"/>
          <w:szCs w:val="20"/>
        </w:rPr>
        <w:t>As a leader in</w:t>
      </w:r>
      <w:r w:rsidRPr="00364F36">
        <w:rPr>
          <w:rFonts w:ascii="Arial Narrow" w:hAnsi="Arial Narrow"/>
          <w:sz w:val="24"/>
          <w:szCs w:val="20"/>
        </w:rPr>
        <w:t xml:space="preserve"> regulatory and compliance issues</w:t>
      </w:r>
      <w:r w:rsidR="006D23D9" w:rsidRPr="00364F36">
        <w:rPr>
          <w:rFonts w:ascii="Arial Narrow" w:hAnsi="Arial Narrow"/>
          <w:sz w:val="24"/>
          <w:szCs w:val="20"/>
        </w:rPr>
        <w:t xml:space="preserve">, Sun </w:t>
      </w:r>
      <w:r w:rsidR="008C3E55" w:rsidRPr="00364F36">
        <w:rPr>
          <w:rFonts w:ascii="Arial Narrow" w:hAnsi="Arial Narrow"/>
          <w:sz w:val="24"/>
          <w:szCs w:val="20"/>
        </w:rPr>
        <w:t>Chemical</w:t>
      </w:r>
      <w:r w:rsidR="00364F36" w:rsidRPr="00364F36">
        <w:rPr>
          <w:rFonts w:ascii="Arial Narrow" w:hAnsi="Arial Narrow"/>
          <w:sz w:val="24"/>
          <w:szCs w:val="20"/>
        </w:rPr>
        <w:t xml:space="preserve"> e</w:t>
      </w:r>
      <w:r w:rsidR="007F0833">
        <w:rPr>
          <w:rFonts w:ascii="Arial Narrow" w:hAnsi="Arial Narrow"/>
          <w:sz w:val="24"/>
          <w:szCs w:val="20"/>
        </w:rPr>
        <w:t>nables</w:t>
      </w:r>
      <w:r w:rsidR="00364F36" w:rsidRPr="00364F36">
        <w:rPr>
          <w:rFonts w:ascii="Arial Narrow" w:hAnsi="Arial Narrow"/>
          <w:sz w:val="24"/>
          <w:szCs w:val="20"/>
        </w:rPr>
        <w:t xml:space="preserve"> customers to understand and follow </w:t>
      </w:r>
      <w:r w:rsidRPr="00364F36">
        <w:rPr>
          <w:rFonts w:ascii="Arial Narrow" w:hAnsi="Arial Narrow"/>
          <w:sz w:val="24"/>
          <w:szCs w:val="20"/>
        </w:rPr>
        <w:t>the</w:t>
      </w:r>
      <w:r w:rsidR="007F0833">
        <w:rPr>
          <w:rFonts w:ascii="Arial Narrow" w:hAnsi="Arial Narrow"/>
          <w:sz w:val="24"/>
          <w:szCs w:val="20"/>
        </w:rPr>
        <w:t xml:space="preserve"> strict</w:t>
      </w:r>
      <w:r w:rsidRPr="00364F36">
        <w:rPr>
          <w:rFonts w:ascii="Arial Narrow" w:hAnsi="Arial Narrow"/>
          <w:sz w:val="24"/>
          <w:szCs w:val="20"/>
        </w:rPr>
        <w:t xml:space="preserve"> standards required by brand owners and regulations,” said </w:t>
      </w:r>
      <w:r w:rsidRPr="00364F36">
        <w:rPr>
          <w:rFonts w:ascii="Arial Narrow" w:hAnsi="Arial Narrow"/>
          <w:sz w:val="24"/>
          <w:szCs w:val="28"/>
        </w:rPr>
        <w:t xml:space="preserve">Gary Andrzejewski, Corporate Vice President, Environmental Affairs, Sun Chemical. “Our regulatory newsletters </w:t>
      </w:r>
      <w:r w:rsidR="00364F36" w:rsidRPr="00364F36">
        <w:rPr>
          <w:rFonts w:ascii="Arial Narrow" w:hAnsi="Arial Narrow"/>
          <w:sz w:val="24"/>
          <w:szCs w:val="28"/>
        </w:rPr>
        <w:t xml:space="preserve">allow us to show our customers that we </w:t>
      </w:r>
      <w:r w:rsidR="007F0833">
        <w:rPr>
          <w:rFonts w:ascii="Arial Narrow" w:hAnsi="Arial Narrow"/>
          <w:sz w:val="24"/>
          <w:szCs w:val="28"/>
        </w:rPr>
        <w:t>are ahead of the curve</w:t>
      </w:r>
      <w:r w:rsidR="00364F36" w:rsidRPr="00364F36">
        <w:rPr>
          <w:rFonts w:ascii="Arial Narrow" w:hAnsi="Arial Narrow"/>
          <w:sz w:val="24"/>
          <w:szCs w:val="28"/>
        </w:rPr>
        <w:t xml:space="preserve"> with international compliance standards. </w:t>
      </w:r>
      <w:r w:rsidR="007F0833">
        <w:rPr>
          <w:rFonts w:ascii="Arial Narrow" w:hAnsi="Arial Narrow"/>
          <w:sz w:val="24"/>
          <w:szCs w:val="28"/>
        </w:rPr>
        <w:t>Not only that, o</w:t>
      </w:r>
      <w:r w:rsidR="00364F36" w:rsidRPr="00364F36">
        <w:rPr>
          <w:rFonts w:ascii="Arial Narrow" w:hAnsi="Arial Narrow"/>
          <w:sz w:val="24"/>
          <w:szCs w:val="28"/>
        </w:rPr>
        <w:t xml:space="preserve">ur leadership is committed to selecting the best raw materials that not only allow us to satisfy our customers’ needs, but also comply with the </w:t>
      </w:r>
      <w:r w:rsidR="007F0833">
        <w:rPr>
          <w:rFonts w:ascii="Arial Narrow" w:hAnsi="Arial Narrow"/>
          <w:sz w:val="24"/>
          <w:szCs w:val="28"/>
        </w:rPr>
        <w:t>latest global regulatory updates.</w:t>
      </w:r>
      <w:r w:rsidR="00331714">
        <w:rPr>
          <w:rFonts w:ascii="Arial Narrow" w:hAnsi="Arial Narrow"/>
          <w:sz w:val="24"/>
          <w:szCs w:val="28"/>
        </w:rPr>
        <w:t>”</w:t>
      </w:r>
    </w:p>
    <w:p w14:paraId="1EDE2490" w14:textId="61F56AC0" w:rsidR="00AA29F1" w:rsidRDefault="00652FDE" w:rsidP="009F3BDC">
      <w:p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The latest newsletter features regulatory updates</w:t>
      </w:r>
      <w:r w:rsidR="007F0833">
        <w:rPr>
          <w:rFonts w:ascii="Arial Narrow" w:hAnsi="Arial Narrow"/>
          <w:sz w:val="24"/>
          <w:szCs w:val="20"/>
        </w:rPr>
        <w:t xml:space="preserve"> and </w:t>
      </w:r>
      <w:r w:rsidR="00835453">
        <w:rPr>
          <w:rFonts w:ascii="Arial Narrow" w:hAnsi="Arial Narrow"/>
          <w:sz w:val="24"/>
          <w:szCs w:val="20"/>
        </w:rPr>
        <w:t>guidance</w:t>
      </w:r>
      <w:r>
        <w:rPr>
          <w:rFonts w:ascii="Arial Narrow" w:hAnsi="Arial Narrow"/>
          <w:sz w:val="24"/>
          <w:szCs w:val="20"/>
        </w:rPr>
        <w:t xml:space="preserve"> f</w:t>
      </w:r>
      <w:r w:rsidR="00AA29F1">
        <w:rPr>
          <w:rFonts w:ascii="Arial Narrow" w:hAnsi="Arial Narrow"/>
          <w:sz w:val="24"/>
          <w:szCs w:val="20"/>
        </w:rPr>
        <w:t>rom:</w:t>
      </w:r>
    </w:p>
    <w:p w14:paraId="02188C8B" w14:textId="02FC9380" w:rsidR="007F0833" w:rsidRDefault="00331714" w:rsidP="007F0833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the </w:t>
      </w:r>
      <w:r w:rsidR="007F0833">
        <w:rPr>
          <w:rFonts w:ascii="Arial Narrow" w:hAnsi="Arial Narrow"/>
          <w:sz w:val="24"/>
          <w:szCs w:val="20"/>
        </w:rPr>
        <w:t>Bolivian Institute for Standardization and Quality,</w:t>
      </w:r>
    </w:p>
    <w:p w14:paraId="4710CEAF" w14:textId="35464782" w:rsidR="007F0833" w:rsidRDefault="007F0833" w:rsidP="007F0833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Chile’s decree (No. 977)</w:t>
      </w:r>
      <w:r w:rsidR="00835453">
        <w:rPr>
          <w:rFonts w:ascii="Arial Narrow" w:hAnsi="Arial Narrow"/>
          <w:sz w:val="24"/>
          <w:szCs w:val="20"/>
        </w:rPr>
        <w:t>,</w:t>
      </w:r>
    </w:p>
    <w:p w14:paraId="54E08D85" w14:textId="64321A4B" w:rsidR="007F0833" w:rsidRPr="007F0833" w:rsidRDefault="007F0833" w:rsidP="007F0833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Columbian Resolution (No. 683)</w:t>
      </w:r>
      <w:r w:rsidR="00835453">
        <w:rPr>
          <w:rFonts w:ascii="Arial Narrow" w:hAnsi="Arial Narrow"/>
          <w:sz w:val="24"/>
          <w:szCs w:val="20"/>
        </w:rPr>
        <w:t>,</w:t>
      </w:r>
    </w:p>
    <w:p w14:paraId="3E0E03CD" w14:textId="662BB186" w:rsidR="007F0833" w:rsidRPr="007F0833" w:rsidRDefault="007F0833" w:rsidP="007F0833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Ecolabel criteria for paper products to ban hazardous materials from products in Europe</w:t>
      </w:r>
      <w:r w:rsidR="00835453">
        <w:rPr>
          <w:rFonts w:ascii="Arial Narrow" w:hAnsi="Arial Narrow"/>
          <w:sz w:val="24"/>
          <w:szCs w:val="20"/>
        </w:rPr>
        <w:t>,</w:t>
      </w:r>
    </w:p>
    <w:p w14:paraId="70A976A9" w14:textId="462CC1A7" w:rsidR="007F0833" w:rsidRDefault="007F0833" w:rsidP="00AA29F1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European Food Safety Authority on toxicological concern in food</w:t>
      </w:r>
      <w:r w:rsidRPr="00AA29F1">
        <w:rPr>
          <w:rFonts w:ascii="Arial Narrow" w:hAnsi="Arial Narrow"/>
          <w:sz w:val="24"/>
          <w:szCs w:val="20"/>
        </w:rPr>
        <w:t>,</w:t>
      </w:r>
    </w:p>
    <w:p w14:paraId="602AC8D3" w14:textId="4B00945F" w:rsidR="00AA29F1" w:rsidRDefault="00AA29F1" w:rsidP="00AA29F1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0"/>
        </w:rPr>
      </w:pPr>
      <w:r w:rsidRPr="00AA29F1">
        <w:rPr>
          <w:rFonts w:ascii="Arial Narrow" w:hAnsi="Arial Narrow"/>
          <w:sz w:val="24"/>
          <w:szCs w:val="20"/>
        </w:rPr>
        <w:t>E</w:t>
      </w:r>
      <w:r w:rsidR="007F0833">
        <w:rPr>
          <w:rFonts w:ascii="Arial Narrow" w:hAnsi="Arial Narrow"/>
          <w:sz w:val="24"/>
          <w:szCs w:val="20"/>
        </w:rPr>
        <w:t>uropean Union</w:t>
      </w:r>
      <w:r w:rsidRPr="00AA29F1">
        <w:rPr>
          <w:rFonts w:ascii="Arial Narrow" w:hAnsi="Arial Narrow"/>
          <w:sz w:val="24"/>
          <w:szCs w:val="20"/>
        </w:rPr>
        <w:t xml:space="preserve"> C</w:t>
      </w:r>
      <w:r w:rsidR="00B74B76">
        <w:rPr>
          <w:rFonts w:ascii="Arial Narrow" w:hAnsi="Arial Narrow"/>
          <w:sz w:val="24"/>
          <w:szCs w:val="20"/>
        </w:rPr>
        <w:t>lassification, Labelling and Packaging</w:t>
      </w:r>
      <w:r w:rsidRPr="00AA29F1">
        <w:rPr>
          <w:rFonts w:ascii="Arial Narrow" w:hAnsi="Arial Narrow"/>
          <w:sz w:val="24"/>
          <w:szCs w:val="20"/>
        </w:rPr>
        <w:t xml:space="preserve"> legislation (EC No. 1272/200), </w:t>
      </w:r>
    </w:p>
    <w:p w14:paraId="7048CF55" w14:textId="3EDF1944" w:rsidR="00835453" w:rsidRDefault="00835453" w:rsidP="00AA29F1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German Federation for Food Law and Food Sciences,</w:t>
      </w:r>
    </w:p>
    <w:p w14:paraId="4F85382F" w14:textId="79A17B35" w:rsidR="00AA29F1" w:rsidRDefault="006D23D9" w:rsidP="00AA29F1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G</w:t>
      </w:r>
      <w:r w:rsidR="007F0833">
        <w:rPr>
          <w:rFonts w:ascii="Arial Narrow" w:hAnsi="Arial Narrow"/>
          <w:sz w:val="24"/>
          <w:szCs w:val="20"/>
        </w:rPr>
        <w:t xml:space="preserve">rupo Mercado </w:t>
      </w:r>
      <w:proofErr w:type="spellStart"/>
      <w:r w:rsidR="007F0833">
        <w:rPr>
          <w:rFonts w:ascii="Arial Narrow" w:hAnsi="Arial Narrow"/>
          <w:sz w:val="24"/>
          <w:szCs w:val="20"/>
        </w:rPr>
        <w:t>Comun</w:t>
      </w:r>
      <w:proofErr w:type="spellEnd"/>
      <w:r>
        <w:rPr>
          <w:rFonts w:ascii="Arial Narrow" w:hAnsi="Arial Narrow"/>
          <w:sz w:val="24"/>
          <w:szCs w:val="20"/>
        </w:rPr>
        <w:t xml:space="preserve"> </w:t>
      </w:r>
      <w:r w:rsidR="007F0833">
        <w:rPr>
          <w:rFonts w:ascii="Arial Narrow" w:hAnsi="Arial Narrow"/>
          <w:sz w:val="24"/>
          <w:szCs w:val="20"/>
        </w:rPr>
        <w:t>(South America’s Mercosur</w:t>
      </w:r>
      <w:r w:rsidR="00835453">
        <w:rPr>
          <w:rFonts w:ascii="Arial Narrow" w:hAnsi="Arial Narrow"/>
          <w:sz w:val="24"/>
          <w:szCs w:val="20"/>
        </w:rPr>
        <w:t>)</w:t>
      </w:r>
      <w:r w:rsidR="007F0833">
        <w:rPr>
          <w:rFonts w:ascii="Arial Narrow" w:hAnsi="Arial Narrow"/>
          <w:sz w:val="24"/>
          <w:szCs w:val="20"/>
        </w:rPr>
        <w:t xml:space="preserve"> Resolution</w:t>
      </w:r>
      <w:r w:rsidR="00835453">
        <w:rPr>
          <w:rFonts w:ascii="Arial Narrow" w:hAnsi="Arial Narrow"/>
          <w:sz w:val="24"/>
          <w:szCs w:val="20"/>
        </w:rPr>
        <w:t>s</w:t>
      </w:r>
      <w:r>
        <w:rPr>
          <w:rFonts w:ascii="Arial Narrow" w:hAnsi="Arial Narrow"/>
          <w:sz w:val="24"/>
          <w:szCs w:val="20"/>
        </w:rPr>
        <w:t>,</w:t>
      </w:r>
    </w:p>
    <w:p w14:paraId="2C4BAC47" w14:textId="1D9728AF" w:rsidR="007F0833" w:rsidRDefault="007F0833" w:rsidP="00AA29F1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India’s Food Safety and Standards (</w:t>
      </w:r>
      <w:r w:rsidR="00835453">
        <w:rPr>
          <w:rFonts w:ascii="Arial Narrow" w:hAnsi="Arial Narrow"/>
          <w:sz w:val="24"/>
          <w:szCs w:val="20"/>
        </w:rPr>
        <w:t>Packaging</w:t>
      </w:r>
      <w:r>
        <w:rPr>
          <w:rFonts w:ascii="Arial Narrow" w:hAnsi="Arial Narrow"/>
          <w:sz w:val="24"/>
          <w:szCs w:val="20"/>
        </w:rPr>
        <w:t>) Regulations</w:t>
      </w:r>
      <w:r w:rsidR="00835453">
        <w:rPr>
          <w:rFonts w:ascii="Arial Narrow" w:hAnsi="Arial Narrow"/>
          <w:sz w:val="24"/>
          <w:szCs w:val="20"/>
        </w:rPr>
        <w:t xml:space="preserve"> 2018,</w:t>
      </w:r>
    </w:p>
    <w:p w14:paraId="76DF526D" w14:textId="43D147C1" w:rsidR="00AA29F1" w:rsidRDefault="00331714" w:rsidP="00AA29F1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s</w:t>
      </w:r>
      <w:r w:rsidR="00AA29F1" w:rsidRPr="00AA29F1">
        <w:rPr>
          <w:rFonts w:ascii="Arial Narrow" w:hAnsi="Arial Narrow"/>
          <w:sz w:val="24"/>
          <w:szCs w:val="20"/>
        </w:rPr>
        <w:t xml:space="preserve">afety legislation of toys in </w:t>
      </w:r>
      <w:r w:rsidR="006D23D9">
        <w:rPr>
          <w:rFonts w:ascii="Arial Narrow" w:hAnsi="Arial Narrow"/>
          <w:sz w:val="24"/>
          <w:szCs w:val="20"/>
        </w:rPr>
        <w:t>Europe and Egypt,</w:t>
      </w:r>
      <w:r w:rsidR="00AA29F1">
        <w:rPr>
          <w:rFonts w:ascii="Arial Narrow" w:hAnsi="Arial Narrow"/>
          <w:sz w:val="24"/>
          <w:szCs w:val="20"/>
        </w:rPr>
        <w:t xml:space="preserve"> </w:t>
      </w:r>
    </w:p>
    <w:p w14:paraId="1FB11EE5" w14:textId="4974F34B" w:rsidR="007F0833" w:rsidRDefault="00331714" w:rsidP="007F0833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the </w:t>
      </w:r>
      <w:r w:rsidR="007F0833">
        <w:rPr>
          <w:rFonts w:ascii="Arial Narrow" w:hAnsi="Arial Narrow"/>
          <w:sz w:val="24"/>
          <w:szCs w:val="20"/>
        </w:rPr>
        <w:t>Toxic Substances Control Act (TSCA) Inventory</w:t>
      </w:r>
      <w:r w:rsidR="007F0833" w:rsidRPr="00AA29F1">
        <w:rPr>
          <w:rFonts w:ascii="Arial Narrow" w:hAnsi="Arial Narrow"/>
          <w:sz w:val="24"/>
          <w:szCs w:val="20"/>
        </w:rPr>
        <w:t xml:space="preserve">, </w:t>
      </w:r>
      <w:r>
        <w:rPr>
          <w:rFonts w:ascii="Arial Narrow" w:hAnsi="Arial Narrow"/>
          <w:sz w:val="24"/>
          <w:szCs w:val="20"/>
        </w:rPr>
        <w:t>and</w:t>
      </w:r>
    </w:p>
    <w:p w14:paraId="4E1F3E98" w14:textId="6B31CAEB" w:rsidR="007F0833" w:rsidRPr="007F0833" w:rsidRDefault="00331714" w:rsidP="007F0833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the </w:t>
      </w:r>
      <w:r w:rsidR="007F0833">
        <w:rPr>
          <w:rFonts w:ascii="Arial Narrow" w:hAnsi="Arial Narrow"/>
          <w:sz w:val="24"/>
          <w:szCs w:val="20"/>
        </w:rPr>
        <w:t xml:space="preserve">TSCA </w:t>
      </w:r>
      <w:r w:rsidR="007F0833" w:rsidRPr="006D23D9">
        <w:rPr>
          <w:rFonts w:ascii="Arial Narrow" w:hAnsi="Arial Narrow"/>
          <w:sz w:val="24"/>
          <w:szCs w:val="20"/>
          <w:lang w:val="en"/>
        </w:rPr>
        <w:t>Science Advisory Committee on Chemicals for pigment violet 29</w:t>
      </w:r>
      <w:r w:rsidR="00835453">
        <w:rPr>
          <w:rFonts w:ascii="Arial Narrow" w:hAnsi="Arial Narrow"/>
          <w:sz w:val="24"/>
          <w:szCs w:val="20"/>
        </w:rPr>
        <w:t>.</w:t>
      </w:r>
    </w:p>
    <w:p w14:paraId="1F0DF85C" w14:textId="61A7169F" w:rsidR="00AA29F1" w:rsidRDefault="00B976CA" w:rsidP="00AA29F1">
      <w:pPr>
        <w:spacing w:line="240" w:lineRule="auto"/>
        <w:rPr>
          <w:rFonts w:ascii="Arial Narrow" w:hAnsi="Arial Narrow"/>
          <w:sz w:val="24"/>
          <w:szCs w:val="20"/>
        </w:rPr>
      </w:pPr>
      <w:r w:rsidRPr="00835453">
        <w:rPr>
          <w:rFonts w:ascii="Arial Narrow" w:hAnsi="Arial Narrow"/>
          <w:sz w:val="24"/>
          <w:szCs w:val="20"/>
        </w:rPr>
        <w:t xml:space="preserve">Some examples of products recently launched that comply with some of the strictest global standards </w:t>
      </w:r>
      <w:r w:rsidR="00D27897" w:rsidRPr="00835453">
        <w:rPr>
          <w:rFonts w:ascii="Arial Narrow" w:hAnsi="Arial Narrow"/>
          <w:sz w:val="24"/>
          <w:szCs w:val="20"/>
        </w:rPr>
        <w:t xml:space="preserve">and deliver on the highest standards of performance, </w:t>
      </w:r>
      <w:r w:rsidRPr="00835453">
        <w:rPr>
          <w:rFonts w:ascii="Arial Narrow" w:hAnsi="Arial Narrow"/>
          <w:sz w:val="24"/>
          <w:szCs w:val="20"/>
        </w:rPr>
        <w:t xml:space="preserve">include a portfolio of energy curable inks which meet low migration standards and are BPA-free, including </w:t>
      </w:r>
      <w:r w:rsidRPr="00835453">
        <w:rPr>
          <w:rFonts w:ascii="Arial Narrow" w:hAnsi="Arial Narrow"/>
          <w:b/>
          <w:sz w:val="24"/>
          <w:szCs w:val="20"/>
        </w:rPr>
        <w:t>SunBeam Advance EB</w:t>
      </w:r>
      <w:r w:rsidRPr="00835453">
        <w:rPr>
          <w:rFonts w:ascii="Arial Narrow" w:hAnsi="Arial Narrow"/>
          <w:sz w:val="24"/>
          <w:szCs w:val="20"/>
        </w:rPr>
        <w:t xml:space="preserve">, </w:t>
      </w:r>
      <w:r w:rsidRPr="00835453">
        <w:rPr>
          <w:rFonts w:ascii="Arial Narrow" w:hAnsi="Arial Narrow"/>
          <w:b/>
          <w:sz w:val="24"/>
          <w:szCs w:val="20"/>
        </w:rPr>
        <w:t>SunCure Advance UV</w:t>
      </w:r>
      <w:r w:rsidRPr="00835453">
        <w:rPr>
          <w:rFonts w:ascii="Arial Narrow" w:hAnsi="Arial Narrow"/>
          <w:sz w:val="24"/>
          <w:szCs w:val="20"/>
        </w:rPr>
        <w:t xml:space="preserve">, </w:t>
      </w:r>
      <w:r w:rsidRPr="00835453">
        <w:rPr>
          <w:rFonts w:ascii="Arial Narrow" w:hAnsi="Arial Narrow"/>
          <w:b/>
          <w:sz w:val="24"/>
          <w:szCs w:val="20"/>
        </w:rPr>
        <w:t xml:space="preserve">SunCure </w:t>
      </w:r>
      <w:proofErr w:type="spellStart"/>
      <w:r w:rsidRPr="00835453">
        <w:rPr>
          <w:rFonts w:ascii="Arial Narrow" w:hAnsi="Arial Narrow"/>
          <w:b/>
          <w:sz w:val="24"/>
          <w:szCs w:val="20"/>
        </w:rPr>
        <w:t>Accuflex</w:t>
      </w:r>
      <w:proofErr w:type="spellEnd"/>
      <w:r w:rsidRPr="00835453">
        <w:rPr>
          <w:rFonts w:ascii="Arial Narrow" w:hAnsi="Arial Narrow"/>
          <w:b/>
          <w:sz w:val="24"/>
          <w:szCs w:val="20"/>
        </w:rPr>
        <w:t xml:space="preserve"> UV</w:t>
      </w:r>
      <w:r w:rsidRPr="00835453">
        <w:rPr>
          <w:rFonts w:ascii="Arial Narrow" w:hAnsi="Arial Narrow"/>
          <w:sz w:val="24"/>
          <w:szCs w:val="20"/>
        </w:rPr>
        <w:t xml:space="preserve"> and </w:t>
      </w:r>
      <w:r w:rsidR="00D27897" w:rsidRPr="00835453">
        <w:rPr>
          <w:rFonts w:ascii="Arial Narrow" w:hAnsi="Arial Narrow"/>
          <w:b/>
          <w:sz w:val="24"/>
          <w:szCs w:val="20"/>
        </w:rPr>
        <w:t>SunCure UV LED</w:t>
      </w:r>
      <w:r w:rsidR="00D27897" w:rsidRPr="00835453">
        <w:rPr>
          <w:rFonts w:ascii="Arial Narrow" w:hAnsi="Arial Narrow"/>
          <w:sz w:val="24"/>
          <w:szCs w:val="20"/>
        </w:rPr>
        <w:t xml:space="preserve"> inks. Other inks recently introduced with higher levels of bio-renewable content include </w:t>
      </w:r>
      <w:proofErr w:type="spellStart"/>
      <w:r w:rsidR="00D27897" w:rsidRPr="00835453">
        <w:rPr>
          <w:rFonts w:ascii="Arial Narrow" w:hAnsi="Arial Narrow"/>
          <w:b/>
          <w:sz w:val="24"/>
          <w:szCs w:val="20"/>
        </w:rPr>
        <w:t>SunSpectro</w:t>
      </w:r>
      <w:proofErr w:type="spellEnd"/>
      <w:r w:rsidR="00D27897" w:rsidRPr="00835453">
        <w:rPr>
          <w:rFonts w:ascii="Arial Narrow" w:hAnsi="Arial Narrow"/>
          <w:b/>
          <w:sz w:val="24"/>
          <w:szCs w:val="20"/>
        </w:rPr>
        <w:t xml:space="preserve"> </w:t>
      </w:r>
      <w:proofErr w:type="spellStart"/>
      <w:r w:rsidR="00D27897" w:rsidRPr="00835453">
        <w:rPr>
          <w:rFonts w:ascii="Arial Narrow" w:hAnsi="Arial Narrow"/>
          <w:b/>
          <w:sz w:val="24"/>
          <w:szCs w:val="20"/>
        </w:rPr>
        <w:t>SolvaGreen</w:t>
      </w:r>
      <w:proofErr w:type="spellEnd"/>
      <w:r w:rsidR="00D27897" w:rsidRPr="00835453">
        <w:rPr>
          <w:rFonts w:ascii="Arial Narrow" w:hAnsi="Arial Narrow"/>
          <w:sz w:val="24"/>
          <w:szCs w:val="20"/>
        </w:rPr>
        <w:t xml:space="preserve"> and </w:t>
      </w:r>
      <w:r w:rsidR="00D27897" w:rsidRPr="00835453">
        <w:rPr>
          <w:rFonts w:ascii="Arial Narrow" w:hAnsi="Arial Narrow"/>
          <w:b/>
          <w:sz w:val="24"/>
          <w:szCs w:val="20"/>
        </w:rPr>
        <w:t xml:space="preserve">SunVisto </w:t>
      </w:r>
      <w:proofErr w:type="spellStart"/>
      <w:r w:rsidR="00D27897" w:rsidRPr="00835453">
        <w:rPr>
          <w:rFonts w:ascii="Arial Narrow" w:hAnsi="Arial Narrow"/>
          <w:b/>
          <w:sz w:val="24"/>
          <w:szCs w:val="20"/>
        </w:rPr>
        <w:t>AquaGreen</w:t>
      </w:r>
      <w:proofErr w:type="spellEnd"/>
      <w:r w:rsidR="00D27897" w:rsidRPr="00835453">
        <w:rPr>
          <w:rFonts w:ascii="Arial Narrow" w:hAnsi="Arial Narrow"/>
          <w:sz w:val="24"/>
          <w:szCs w:val="20"/>
        </w:rPr>
        <w:t xml:space="preserve"> inks.</w:t>
      </w:r>
    </w:p>
    <w:p w14:paraId="621BC41A" w14:textId="060502D4" w:rsidR="002A5F4A" w:rsidRDefault="00331714" w:rsidP="00AA29F1">
      <w:p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Visit </w:t>
      </w:r>
      <w:hyperlink r:id="rId13" w:history="1">
        <w:r w:rsidRPr="00780908">
          <w:rPr>
            <w:rStyle w:val="Hyperlink"/>
            <w:rFonts w:ascii="Arial Narrow" w:hAnsi="Arial Narrow"/>
            <w:sz w:val="24"/>
            <w:szCs w:val="20"/>
          </w:rPr>
          <w:t>www.sunchemical.com/regulatory</w:t>
        </w:r>
      </w:hyperlink>
      <w:r w:rsidR="002A5F4A">
        <w:rPr>
          <w:rFonts w:ascii="Arial Narrow" w:hAnsi="Arial Narrow"/>
          <w:sz w:val="24"/>
          <w:szCs w:val="20"/>
        </w:rPr>
        <w:t xml:space="preserve"> </w:t>
      </w:r>
      <w:r>
        <w:rPr>
          <w:rFonts w:ascii="Arial Narrow" w:hAnsi="Arial Narrow"/>
          <w:sz w:val="24"/>
          <w:szCs w:val="20"/>
        </w:rPr>
        <w:t>to obtain</w:t>
      </w:r>
      <w:r w:rsidR="002A5F4A">
        <w:rPr>
          <w:rFonts w:ascii="Arial Narrow" w:hAnsi="Arial Narrow"/>
          <w:sz w:val="24"/>
          <w:szCs w:val="20"/>
        </w:rPr>
        <w:t xml:space="preserve"> a copy of Sun Chemical’s </w:t>
      </w:r>
      <w:r w:rsidR="00C23584">
        <w:rPr>
          <w:rFonts w:ascii="Arial Narrow" w:hAnsi="Arial Narrow"/>
          <w:sz w:val="24"/>
          <w:szCs w:val="20"/>
        </w:rPr>
        <w:t>Fall</w:t>
      </w:r>
      <w:r>
        <w:rPr>
          <w:rFonts w:ascii="Arial Narrow" w:hAnsi="Arial Narrow"/>
          <w:sz w:val="24"/>
          <w:szCs w:val="20"/>
        </w:rPr>
        <w:t xml:space="preserve"> 2019</w:t>
      </w:r>
      <w:r w:rsidR="002A5F4A">
        <w:rPr>
          <w:rFonts w:ascii="Arial Narrow" w:hAnsi="Arial Narrow"/>
          <w:sz w:val="24"/>
          <w:szCs w:val="20"/>
        </w:rPr>
        <w:t xml:space="preserve"> Regulatory Newsletter. </w:t>
      </w:r>
    </w:p>
    <w:p w14:paraId="4A0E9F72" w14:textId="77777777" w:rsidR="00F6424A" w:rsidRDefault="00F6424A" w:rsidP="00F6424A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2E07B567" w14:textId="77777777" w:rsidR="00F6424A" w:rsidRPr="00F6424A" w:rsidRDefault="00F6424A" w:rsidP="00F6424A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F6424A">
        <w:rPr>
          <w:rFonts w:ascii="Arial Narrow" w:eastAsia="Times New Roman" w:hAnsi="Arial Narrow" w:cs="Times New Roman"/>
          <w:b/>
          <w:sz w:val="24"/>
          <w:szCs w:val="24"/>
        </w:rPr>
        <w:t xml:space="preserve">About Sun Chemical </w:t>
      </w:r>
    </w:p>
    <w:p w14:paraId="78C6F3DA" w14:textId="77777777" w:rsidR="00F6424A" w:rsidRPr="00F6424A" w:rsidRDefault="00F6424A" w:rsidP="00F6424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6424A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Sun Chemical, a member of the DIC group, is a leading producer of </w:t>
      </w:r>
      <w:r w:rsidRPr="00F6424A">
        <w:rPr>
          <w:rFonts w:ascii="Arial Narrow" w:eastAsia="Times New Roman" w:hAnsi="Arial Narrow" w:cs="Times New Roman"/>
          <w:sz w:val="24"/>
          <w:szCs w:val="24"/>
          <w:lang w:val="en-GB"/>
        </w:rPr>
        <w:t>printing inks, coatings and supplies, pigments, polymers, liquid compounds, solid compounds, and application materials</w:t>
      </w:r>
      <w:r w:rsidRPr="00F6424A">
        <w:rPr>
          <w:rFonts w:ascii="Arial Narrow" w:eastAsia="Times New Roman" w:hAnsi="Arial Narrow" w:cs="Times New Roman"/>
          <w:sz w:val="24"/>
          <w:szCs w:val="24"/>
        </w:rPr>
        <w:t xml:space="preserve">. Together with DIC, Sun Chemical has annual sales of more than $7.5 billion and over 20,000 employees supporting customers around the world. </w:t>
      </w:r>
    </w:p>
    <w:p w14:paraId="0385DE52" w14:textId="77777777" w:rsidR="00F6424A" w:rsidRPr="00F6424A" w:rsidRDefault="00F6424A" w:rsidP="00F6424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41AEA776" w14:textId="77777777" w:rsidR="00F6424A" w:rsidRPr="00F6424A" w:rsidRDefault="00F6424A" w:rsidP="00F6424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6424A">
        <w:rPr>
          <w:rFonts w:ascii="Arial Narrow" w:eastAsia="Times New Roman" w:hAnsi="Arial Narrow" w:cs="Times New Roman"/>
          <w:sz w:val="24"/>
          <w:szCs w:val="24"/>
        </w:rPr>
        <w:t xml:space="preserve">Sun Chemical Corporation is a subsidiary of </w:t>
      </w:r>
      <w:r w:rsidRPr="00F6424A">
        <w:rPr>
          <w:rFonts w:ascii="Arial Narrow" w:eastAsia="Times New Roman" w:hAnsi="Arial Narrow" w:cs="Arial"/>
          <w:bCs/>
          <w:sz w:val="24"/>
          <w:szCs w:val="24"/>
        </w:rPr>
        <w:t>Sun Chemical Group Coöperatief U.A.</w:t>
      </w:r>
      <w:r w:rsidRPr="00F6424A">
        <w:rPr>
          <w:rFonts w:ascii="Arial Narrow" w:eastAsia="Times New Roman" w:hAnsi="Arial Narrow" w:cs="Times New Roman"/>
          <w:sz w:val="24"/>
          <w:szCs w:val="24"/>
        </w:rPr>
        <w:t xml:space="preserve">, the Netherlands, and is headquartered in Parsippany, New Jersey, U.S.A. For more information, please visit our Web site at </w:t>
      </w:r>
      <w:hyperlink r:id="rId14" w:tooltip="blocked::http://www.sunchemical.com/&#10;http://www.sunchemical.com/" w:history="1">
        <w:r w:rsidRPr="00F6424A">
          <w:rPr>
            <w:rFonts w:ascii="Arial Narrow" w:eastAsia="Times New Roman" w:hAnsi="Arial Narrow" w:cs="Times New Roman"/>
            <w:color w:val="800080"/>
            <w:sz w:val="24"/>
            <w:szCs w:val="24"/>
            <w:u w:val="single"/>
          </w:rPr>
          <w:t>www.sunchemical.com</w:t>
        </w:r>
      </w:hyperlink>
      <w:r w:rsidRPr="00F6424A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645B3221" w14:textId="77777777" w:rsidR="00F6424A" w:rsidRPr="00F6424A" w:rsidRDefault="00F6424A" w:rsidP="00F6424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14:paraId="199F1B25" w14:textId="77777777" w:rsidR="00F6424A" w:rsidRPr="00F6424A" w:rsidRDefault="00F6424A" w:rsidP="00F6424A">
      <w:pPr>
        <w:spacing w:line="259" w:lineRule="auto"/>
        <w:rPr>
          <w:rFonts w:asciiTheme="minorHAnsi" w:hAnsiTheme="minorHAnsi" w:cstheme="minorBidi"/>
        </w:rPr>
      </w:pPr>
      <w:r w:rsidRPr="00F6424A">
        <w:rPr>
          <w:rFonts w:ascii="Arial" w:eastAsia="Times New Roman" w:hAnsi="Arial" w:cs="Times New Roman"/>
          <w:noProof/>
          <w:color w:val="000000"/>
          <w:sz w:val="20"/>
          <w:szCs w:val="24"/>
          <w:lang w:val="pt-BR" w:eastAsia="pt-BR"/>
        </w:rPr>
        <w:drawing>
          <wp:inline distT="0" distB="0" distL="0" distR="0" wp14:anchorId="6999F6BD" wp14:editId="529B9164">
            <wp:extent cx="5937250" cy="304800"/>
            <wp:effectExtent l="0" t="0" r="6350" b="0"/>
            <wp:docPr id="3" name="Picture 3" descr="working_for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king_for_yo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11749" w14:textId="77777777" w:rsidR="005F0D2E" w:rsidRDefault="005F0D2E"/>
    <w:sectPr w:rsidR="005F0D2E" w:rsidSect="00D2789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1E13"/>
    <w:multiLevelType w:val="hybridMultilevel"/>
    <w:tmpl w:val="CA3A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67AD4"/>
    <w:multiLevelType w:val="hybridMultilevel"/>
    <w:tmpl w:val="F62A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C27B3"/>
    <w:multiLevelType w:val="hybridMultilevel"/>
    <w:tmpl w:val="71C048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0E"/>
    <w:rsid w:val="0001486C"/>
    <w:rsid w:val="000B3B40"/>
    <w:rsid w:val="001054DE"/>
    <w:rsid w:val="00116A5E"/>
    <w:rsid w:val="001610E7"/>
    <w:rsid w:val="0016390F"/>
    <w:rsid w:val="002157EF"/>
    <w:rsid w:val="00294BA6"/>
    <w:rsid w:val="002A5AD2"/>
    <w:rsid w:val="002A5F4A"/>
    <w:rsid w:val="002E5760"/>
    <w:rsid w:val="00317771"/>
    <w:rsid w:val="00331714"/>
    <w:rsid w:val="00364F36"/>
    <w:rsid w:val="00366078"/>
    <w:rsid w:val="0040481A"/>
    <w:rsid w:val="00466701"/>
    <w:rsid w:val="004B1982"/>
    <w:rsid w:val="004C4CDD"/>
    <w:rsid w:val="005F0D2E"/>
    <w:rsid w:val="00652FDE"/>
    <w:rsid w:val="00670E5C"/>
    <w:rsid w:val="006D23D9"/>
    <w:rsid w:val="00751091"/>
    <w:rsid w:val="007F0833"/>
    <w:rsid w:val="008052B9"/>
    <w:rsid w:val="00835453"/>
    <w:rsid w:val="008C3E55"/>
    <w:rsid w:val="009204D6"/>
    <w:rsid w:val="00977C4A"/>
    <w:rsid w:val="009F3BDC"/>
    <w:rsid w:val="00AA29F1"/>
    <w:rsid w:val="00B74B76"/>
    <w:rsid w:val="00B96922"/>
    <w:rsid w:val="00B976CA"/>
    <w:rsid w:val="00BE6BD3"/>
    <w:rsid w:val="00C07E0E"/>
    <w:rsid w:val="00C23584"/>
    <w:rsid w:val="00C35759"/>
    <w:rsid w:val="00D27897"/>
    <w:rsid w:val="00D36B55"/>
    <w:rsid w:val="00E2536E"/>
    <w:rsid w:val="00E932AD"/>
    <w:rsid w:val="00F26CA2"/>
    <w:rsid w:val="00F54A1C"/>
    <w:rsid w:val="00F6424A"/>
    <w:rsid w:val="00F9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1A85"/>
  <w15:chartTrackingRefBased/>
  <w15:docId w15:val="{F51C3D07-E56A-492E-B0CD-40758051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7E0E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E0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CD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CD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10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60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4B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unchemical.com/regulatory" TargetMode="External"/><Relationship Id="rId3" Type="http://schemas.openxmlformats.org/officeDocument/2006/relationships/styles" Target="styles.xml"/><Relationship Id="rId7" Type="http://schemas.openxmlformats.org/officeDocument/2006/relationships/image" Target="cid:image003.jpg@01D4442E.52741270" TargetMode="External"/><Relationship Id="rId12" Type="http://schemas.openxmlformats.org/officeDocument/2006/relationships/hyperlink" Target="http://www.sunchemical.com/regulator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parry@mower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Heather.buchholz@sunchemical.co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4.jpg@01D4442E.52741270" TargetMode="External"/><Relationship Id="rId14" Type="http://schemas.openxmlformats.org/officeDocument/2006/relationships/hyperlink" Target="BLOCKED::http://www.sunchemi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6ADC4-F19D-4FB7-B03E-C7FB9420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Cassalia</dc:creator>
  <cp:keywords/>
  <dc:description/>
  <cp:lastModifiedBy>Matthew Parry</cp:lastModifiedBy>
  <cp:revision>2</cp:revision>
  <dcterms:created xsi:type="dcterms:W3CDTF">2019-10-11T17:23:00Z</dcterms:created>
  <dcterms:modified xsi:type="dcterms:W3CDTF">2019-10-11T17:23:00Z</dcterms:modified>
</cp:coreProperties>
</file>