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Pr="00D273FD" w:rsidRDefault="00DE455D" w:rsidP="00BB69CC">
      <w:pPr>
        <w:spacing w:after="360"/>
        <w:rPr>
          <w:rFonts w:ascii="Arial" w:eastAsia="Arial Unicode MS" w:hAnsi="Arial" w:cs="Arial"/>
          <w:b/>
          <w:sz w:val="20"/>
          <w:szCs w:val="20"/>
          <w:lang w:val="en-GB"/>
        </w:rPr>
      </w:pPr>
      <w:r>
        <w:rPr>
          <w:rFonts w:ascii="Arial" w:eastAsia="Arial Unicode MS" w:hAnsi="Arial" w:cs="Arial"/>
          <w:b/>
          <w:sz w:val="28"/>
          <w:szCs w:val="28"/>
          <w:lang w:val="en-GB"/>
        </w:rPr>
        <w:t xml:space="preserve">GMG </w:t>
      </w:r>
      <w:r w:rsidR="00811345">
        <w:rPr>
          <w:rFonts w:ascii="Arial" w:eastAsia="Arial Unicode MS" w:hAnsi="Arial" w:cs="Arial"/>
          <w:b/>
          <w:sz w:val="28"/>
          <w:szCs w:val="28"/>
          <w:lang w:val="en-GB"/>
        </w:rPr>
        <w:t xml:space="preserve">OpenColor 2.3: </w:t>
      </w:r>
      <w:r w:rsidR="00142EAF">
        <w:rPr>
          <w:rFonts w:ascii="Arial" w:eastAsia="Arial Unicode MS" w:hAnsi="Arial" w:cs="Arial"/>
          <w:b/>
          <w:sz w:val="28"/>
          <w:szCs w:val="28"/>
          <w:lang w:val="en-GB"/>
        </w:rPr>
        <w:t>New</w:t>
      </w:r>
      <w:r w:rsidR="00AB6333">
        <w:rPr>
          <w:rFonts w:ascii="Arial" w:eastAsia="Arial Unicode MS" w:hAnsi="Arial" w:cs="Arial"/>
          <w:b/>
          <w:sz w:val="28"/>
          <w:szCs w:val="28"/>
          <w:lang w:val="en-GB"/>
        </w:rPr>
        <w:t xml:space="preserve"> Media Library for </w:t>
      </w:r>
      <w:r w:rsidR="00142EAF">
        <w:rPr>
          <w:rFonts w:ascii="Arial" w:eastAsia="Arial Unicode MS" w:hAnsi="Arial" w:cs="Arial"/>
          <w:b/>
          <w:sz w:val="28"/>
          <w:szCs w:val="28"/>
          <w:lang w:val="en-GB"/>
        </w:rPr>
        <w:t>an optimized Overview</w:t>
      </w:r>
      <w:r>
        <w:rPr>
          <w:rFonts w:ascii="Arial" w:eastAsia="Arial Unicode MS" w:hAnsi="Arial" w:cs="Arial"/>
          <w:b/>
          <w:sz w:val="28"/>
          <w:szCs w:val="28"/>
          <w:lang w:val="en-GB"/>
        </w:rPr>
        <w:t xml:space="preserve"> </w:t>
      </w:r>
    </w:p>
    <w:p w:rsidR="00737F78" w:rsidRPr="00D273FD" w:rsidRDefault="00AB6333" w:rsidP="0051003E">
      <w:pPr>
        <w:spacing w:after="480" w:line="360" w:lineRule="auto"/>
        <w:jc w:val="both"/>
        <w:rPr>
          <w:rFonts w:ascii="Arial" w:eastAsia="Arial Unicode MS" w:hAnsi="Arial" w:cs="Arial"/>
          <w:b/>
          <w:sz w:val="20"/>
          <w:lang w:val="en-GB"/>
        </w:rPr>
      </w:pPr>
      <w:r>
        <w:rPr>
          <w:rFonts w:ascii="Arial" w:eastAsia="Arial Unicode MS" w:hAnsi="Arial" w:cs="Arial"/>
          <w:b/>
          <w:sz w:val="20"/>
          <w:lang w:val="en-GB"/>
        </w:rPr>
        <w:t xml:space="preserve">The color management expert’s patented GMG OpenColor solution once again offers exciting new features. </w:t>
      </w:r>
      <w:r w:rsidR="004912EB">
        <w:rPr>
          <w:rFonts w:ascii="Arial" w:eastAsia="Arial Unicode MS" w:hAnsi="Arial" w:cs="Arial"/>
          <w:b/>
          <w:sz w:val="20"/>
          <w:lang w:val="en-GB"/>
        </w:rPr>
        <w:t>Especially</w:t>
      </w:r>
      <w:r>
        <w:rPr>
          <w:rFonts w:ascii="Arial" w:eastAsia="Arial Unicode MS" w:hAnsi="Arial" w:cs="Arial"/>
          <w:b/>
          <w:sz w:val="20"/>
          <w:lang w:val="en-GB"/>
        </w:rPr>
        <w:t xml:space="preserve"> the improved media library guarantees space for more efficient work and enhanced processes meeting the demands of users.</w:t>
      </w:r>
    </w:p>
    <w:p w:rsidR="00870F5A" w:rsidRDefault="00BB69CC" w:rsidP="00811345">
      <w:pPr>
        <w:spacing w:after="240" w:line="280" w:lineRule="exact"/>
        <w:jc w:val="both"/>
        <w:rPr>
          <w:rFonts w:ascii="Arial" w:eastAsia="Arial Unicode MS" w:hAnsi="Arial" w:cs="Arial"/>
          <w:sz w:val="20"/>
          <w:szCs w:val="20"/>
          <w:lang w:val="en-GB"/>
        </w:rPr>
      </w:pPr>
      <w:proofErr w:type="spellStart"/>
      <w:r w:rsidRPr="00D273FD">
        <w:rPr>
          <w:rFonts w:ascii="Arial" w:eastAsia="Arial Unicode MS" w:hAnsi="Arial" w:cs="Arial"/>
          <w:b/>
          <w:sz w:val="20"/>
          <w:szCs w:val="20"/>
          <w:lang w:val="en-GB"/>
        </w:rPr>
        <w:t>T</w:t>
      </w:r>
      <w:r w:rsidR="00737F78" w:rsidRPr="00D273FD">
        <w:rPr>
          <w:rFonts w:ascii="Arial" w:eastAsia="Arial Unicode MS" w:hAnsi="Arial" w:cs="Arial"/>
          <w:b/>
          <w:sz w:val="20"/>
          <w:szCs w:val="20"/>
          <w:lang w:val="en-GB"/>
        </w:rPr>
        <w:t>ue</w:t>
      </w:r>
      <w:r w:rsidRPr="00D273FD">
        <w:rPr>
          <w:rFonts w:ascii="Arial" w:eastAsia="Arial Unicode MS" w:hAnsi="Arial" w:cs="Arial"/>
          <w:b/>
          <w:sz w:val="20"/>
          <w:szCs w:val="20"/>
          <w:lang w:val="en-GB"/>
        </w:rPr>
        <w:t>bingen</w:t>
      </w:r>
      <w:proofErr w:type="spellEnd"/>
      <w:r w:rsidRPr="00D273FD">
        <w:rPr>
          <w:rFonts w:ascii="Arial" w:eastAsia="Arial Unicode MS" w:hAnsi="Arial" w:cs="Arial"/>
          <w:b/>
          <w:sz w:val="20"/>
          <w:szCs w:val="20"/>
          <w:lang w:val="en-GB"/>
        </w:rPr>
        <w:t xml:space="preserve">, </w:t>
      </w:r>
      <w:r w:rsidR="00737F78" w:rsidRPr="00D273FD">
        <w:rPr>
          <w:rFonts w:ascii="Arial" w:eastAsia="Arial Unicode MS" w:hAnsi="Arial" w:cs="Arial"/>
          <w:b/>
          <w:sz w:val="20"/>
          <w:szCs w:val="20"/>
          <w:lang w:val="en-GB"/>
        </w:rPr>
        <w:t>Germany</w:t>
      </w:r>
      <w:r w:rsidRPr="00D273FD">
        <w:rPr>
          <w:rFonts w:ascii="Arial" w:eastAsia="Arial Unicode MS" w:hAnsi="Arial" w:cs="Arial"/>
          <w:b/>
          <w:sz w:val="20"/>
          <w:szCs w:val="20"/>
          <w:lang w:val="en-GB"/>
        </w:rPr>
        <w:t xml:space="preserve"> (</w:t>
      </w:r>
      <w:r w:rsidR="00811345">
        <w:rPr>
          <w:rFonts w:ascii="Arial" w:eastAsia="Arial Unicode MS" w:hAnsi="Arial" w:cs="Arial"/>
          <w:b/>
          <w:sz w:val="20"/>
          <w:szCs w:val="20"/>
          <w:lang w:val="en-GB"/>
        </w:rPr>
        <w:t>Decembe</w:t>
      </w:r>
      <w:r w:rsidR="00AB6333">
        <w:rPr>
          <w:rFonts w:ascii="Arial" w:eastAsia="Arial Unicode MS" w:hAnsi="Arial" w:cs="Arial"/>
          <w:b/>
          <w:sz w:val="20"/>
          <w:szCs w:val="20"/>
          <w:lang w:val="en-GB"/>
        </w:rPr>
        <w:t xml:space="preserve">r </w:t>
      </w:r>
      <w:r w:rsidR="00BE753A">
        <w:rPr>
          <w:rFonts w:ascii="Arial" w:eastAsia="Arial Unicode MS" w:hAnsi="Arial" w:cs="Arial"/>
          <w:b/>
          <w:sz w:val="20"/>
          <w:szCs w:val="20"/>
          <w:lang w:val="en-GB"/>
        </w:rPr>
        <w:t>5</w:t>
      </w:r>
      <w:bookmarkStart w:id="0" w:name="_GoBack"/>
      <w:bookmarkEnd w:id="0"/>
      <w:r w:rsidR="00737F78" w:rsidRPr="002D5C11">
        <w:rPr>
          <w:rFonts w:ascii="Arial" w:eastAsia="Arial Unicode MS" w:hAnsi="Arial" w:cs="Arial"/>
          <w:b/>
          <w:sz w:val="20"/>
          <w:szCs w:val="20"/>
          <w:lang w:val="en-GB"/>
        </w:rPr>
        <w:t xml:space="preserve">, </w:t>
      </w:r>
      <w:r w:rsidRPr="00D273FD">
        <w:rPr>
          <w:rFonts w:ascii="Arial" w:eastAsia="Arial Unicode MS" w:hAnsi="Arial" w:cs="Arial"/>
          <w:b/>
          <w:sz w:val="20"/>
          <w:szCs w:val="20"/>
          <w:lang w:val="en-GB"/>
        </w:rPr>
        <w:t>2019) –</w:t>
      </w:r>
      <w:r w:rsidR="0074050E">
        <w:rPr>
          <w:rFonts w:ascii="Arial" w:eastAsia="Arial Unicode MS" w:hAnsi="Arial" w:cs="Arial"/>
          <w:sz w:val="20"/>
          <w:szCs w:val="20"/>
          <w:lang w:val="en-GB"/>
        </w:rPr>
        <w:t xml:space="preserve"> </w:t>
      </w:r>
      <w:r w:rsidR="00AB6333">
        <w:rPr>
          <w:rFonts w:ascii="Arial" w:eastAsia="Arial Unicode MS" w:hAnsi="Arial" w:cs="Arial"/>
          <w:sz w:val="20"/>
          <w:szCs w:val="20"/>
          <w:lang w:val="en-GB"/>
        </w:rPr>
        <w:t xml:space="preserve">The optimized media library makes it easier to organize materials directly in GMG OpenColor. Previous version already made it possible to save custom media and reuse them later. As of GMG OpenColor 2.3, </w:t>
      </w:r>
      <w:r w:rsidR="00142EAF">
        <w:rPr>
          <w:rFonts w:ascii="Arial" w:eastAsia="Arial Unicode MS" w:hAnsi="Arial" w:cs="Arial"/>
          <w:sz w:val="20"/>
          <w:szCs w:val="20"/>
          <w:lang w:val="en-GB"/>
        </w:rPr>
        <w:t xml:space="preserve">all customized substrates will be shown at one place and </w:t>
      </w:r>
      <w:r w:rsidR="00AB6333">
        <w:rPr>
          <w:rFonts w:ascii="Arial" w:eastAsia="Arial Unicode MS" w:hAnsi="Arial" w:cs="Arial"/>
          <w:sz w:val="20"/>
          <w:szCs w:val="20"/>
          <w:lang w:val="en-GB"/>
        </w:rPr>
        <w:t>changes to the properties of a media are automatically applied to all projects in which the corresponding med</w:t>
      </w:r>
      <w:r w:rsidR="00B96B56">
        <w:rPr>
          <w:rFonts w:ascii="Arial" w:eastAsia="Arial Unicode MS" w:hAnsi="Arial" w:cs="Arial"/>
          <w:sz w:val="20"/>
          <w:szCs w:val="20"/>
          <w:lang w:val="en-GB"/>
        </w:rPr>
        <w:t>i</w:t>
      </w:r>
      <w:r w:rsidR="00AB6333">
        <w:rPr>
          <w:rFonts w:ascii="Arial" w:eastAsia="Arial Unicode MS" w:hAnsi="Arial" w:cs="Arial"/>
          <w:sz w:val="20"/>
          <w:szCs w:val="20"/>
          <w:lang w:val="en-GB"/>
        </w:rPr>
        <w:t xml:space="preserve">a is used. The new feature grants consistency in paper tint, even across different jobs, and with this automation ensures the correct output of proofs. In addition, </w:t>
      </w:r>
      <w:r w:rsidR="009C0AF8">
        <w:rPr>
          <w:rFonts w:ascii="Arial" w:eastAsia="Arial Unicode MS" w:hAnsi="Arial" w:cs="Arial"/>
          <w:sz w:val="20"/>
          <w:szCs w:val="20"/>
          <w:lang w:val="en-GB"/>
        </w:rPr>
        <w:t>operators</w:t>
      </w:r>
      <w:r w:rsidR="00AB6333">
        <w:rPr>
          <w:rFonts w:ascii="Arial" w:eastAsia="Arial Unicode MS" w:hAnsi="Arial" w:cs="Arial"/>
          <w:sz w:val="20"/>
          <w:szCs w:val="20"/>
          <w:lang w:val="en-GB"/>
        </w:rPr>
        <w:t xml:space="preserve"> of GMG OpenColor do not have to edit each project manuall</w:t>
      </w:r>
      <w:r w:rsidR="009C0AF8">
        <w:rPr>
          <w:rFonts w:ascii="Arial" w:eastAsia="Arial Unicode MS" w:hAnsi="Arial" w:cs="Arial"/>
          <w:sz w:val="20"/>
          <w:szCs w:val="20"/>
          <w:lang w:val="en-GB"/>
        </w:rPr>
        <w:t xml:space="preserve">y </w:t>
      </w:r>
      <w:r w:rsidR="00AB6333">
        <w:rPr>
          <w:rFonts w:ascii="Arial" w:eastAsia="Arial Unicode MS" w:hAnsi="Arial" w:cs="Arial"/>
          <w:sz w:val="20"/>
          <w:szCs w:val="20"/>
          <w:lang w:val="en-GB"/>
        </w:rPr>
        <w:t xml:space="preserve">but can rely on considerable time savings. </w:t>
      </w:r>
    </w:p>
    <w:p w:rsidR="009C0AF8" w:rsidRDefault="009C0AF8" w:rsidP="00811345">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The </w:t>
      </w:r>
      <w:r w:rsidR="00440BFD">
        <w:rPr>
          <w:rFonts w:ascii="Arial" w:eastAsia="Arial Unicode MS" w:hAnsi="Arial" w:cs="Arial"/>
          <w:sz w:val="20"/>
          <w:szCs w:val="20"/>
          <w:lang w:val="en-GB"/>
        </w:rPr>
        <w:t>latest</w:t>
      </w:r>
      <w:r>
        <w:rPr>
          <w:rFonts w:ascii="Arial" w:eastAsia="Arial Unicode MS" w:hAnsi="Arial" w:cs="Arial"/>
          <w:sz w:val="20"/>
          <w:szCs w:val="20"/>
          <w:lang w:val="en-GB"/>
        </w:rPr>
        <w:t xml:space="preserve"> version of the award-winning software is also accompanied by an expanded media and color spectrum. GMG OpenColor 2.3 </w:t>
      </w:r>
      <w:r w:rsidR="00142EAF">
        <w:rPr>
          <w:rFonts w:ascii="Arial" w:eastAsia="Arial Unicode MS" w:hAnsi="Arial" w:cs="Arial"/>
          <w:sz w:val="20"/>
          <w:szCs w:val="20"/>
          <w:lang w:val="en-GB"/>
        </w:rPr>
        <w:t xml:space="preserve">now </w:t>
      </w:r>
      <w:r>
        <w:rPr>
          <w:rFonts w:ascii="Arial" w:eastAsia="Arial Unicode MS" w:hAnsi="Arial" w:cs="Arial"/>
          <w:sz w:val="20"/>
          <w:szCs w:val="20"/>
          <w:lang w:val="en-GB"/>
        </w:rPr>
        <w:t xml:space="preserve">supports GMG </w:t>
      </w:r>
      <w:proofErr w:type="spellStart"/>
      <w:r>
        <w:rPr>
          <w:rFonts w:ascii="Arial" w:eastAsia="Arial Unicode MS" w:hAnsi="Arial" w:cs="Arial"/>
          <w:sz w:val="20"/>
          <w:szCs w:val="20"/>
          <w:lang w:val="en-GB"/>
        </w:rPr>
        <w:t>ProofMedia</w:t>
      </w:r>
      <w:proofErr w:type="spellEnd"/>
      <w:r>
        <w:rPr>
          <w:rFonts w:ascii="Arial" w:eastAsia="Arial Unicode MS" w:hAnsi="Arial" w:cs="Arial"/>
          <w:sz w:val="20"/>
          <w:szCs w:val="20"/>
          <w:lang w:val="en-GB"/>
        </w:rPr>
        <w:t xml:space="preserve"> studio OBA </w:t>
      </w:r>
      <w:proofErr w:type="spellStart"/>
      <w:r>
        <w:rPr>
          <w:rFonts w:ascii="Arial" w:eastAsia="Arial Unicode MS" w:hAnsi="Arial" w:cs="Arial"/>
          <w:sz w:val="20"/>
          <w:szCs w:val="20"/>
          <w:lang w:val="en-GB"/>
        </w:rPr>
        <w:t>semiMatte</w:t>
      </w:r>
      <w:proofErr w:type="spellEnd"/>
      <w:r>
        <w:rPr>
          <w:rFonts w:ascii="Arial" w:eastAsia="Arial Unicode MS" w:hAnsi="Arial" w:cs="Arial"/>
          <w:sz w:val="20"/>
          <w:szCs w:val="20"/>
          <w:lang w:val="en-GB"/>
        </w:rPr>
        <w:t xml:space="preserve"> 200 – a recently released addition to the proof media portfolio. Thanks to its low weight, </w:t>
      </w:r>
      <w:proofErr w:type="spellStart"/>
      <w:r w:rsidR="00142EAF">
        <w:rPr>
          <w:rFonts w:ascii="Arial" w:eastAsia="Arial Unicode MS" w:hAnsi="Arial" w:cs="Arial"/>
          <w:sz w:val="20"/>
          <w:szCs w:val="20"/>
          <w:lang w:val="en-GB"/>
        </w:rPr>
        <w:t>flat</w:t>
      </w:r>
      <w:r>
        <w:rPr>
          <w:rFonts w:ascii="Arial" w:eastAsia="Arial Unicode MS" w:hAnsi="Arial" w:cs="Arial"/>
          <w:sz w:val="20"/>
          <w:szCs w:val="20"/>
          <w:lang w:val="en-GB"/>
        </w:rPr>
        <w:t>matte</w:t>
      </w:r>
      <w:proofErr w:type="spellEnd"/>
      <w:r>
        <w:rPr>
          <w:rFonts w:ascii="Arial" w:eastAsia="Arial Unicode MS" w:hAnsi="Arial" w:cs="Arial"/>
          <w:sz w:val="20"/>
          <w:szCs w:val="20"/>
          <w:lang w:val="en-GB"/>
        </w:rPr>
        <w:t xml:space="preserve"> texture, and optical brightening agents, the new media is particularly suitable for </w:t>
      </w:r>
      <w:r w:rsidR="00142EAF">
        <w:rPr>
          <w:rFonts w:ascii="Arial" w:eastAsia="Arial Unicode MS" w:hAnsi="Arial" w:cs="Arial"/>
          <w:sz w:val="20"/>
          <w:szCs w:val="20"/>
          <w:lang w:val="en-GB"/>
        </w:rPr>
        <w:t>all applications using OBA substrates</w:t>
      </w:r>
      <w:r>
        <w:rPr>
          <w:rFonts w:ascii="Arial" w:eastAsia="Arial Unicode MS" w:hAnsi="Arial" w:cs="Arial"/>
          <w:sz w:val="20"/>
          <w:szCs w:val="20"/>
          <w:lang w:val="en-GB"/>
        </w:rPr>
        <w:t xml:space="preserve">. The new PANTONE inks are also </w:t>
      </w:r>
      <w:r w:rsidR="004912EB">
        <w:rPr>
          <w:rFonts w:ascii="Arial" w:eastAsia="Arial Unicode MS" w:hAnsi="Arial" w:cs="Arial"/>
          <w:sz w:val="20"/>
          <w:szCs w:val="20"/>
          <w:lang w:val="en-GB"/>
        </w:rPr>
        <w:t>included in</w:t>
      </w:r>
      <w:r>
        <w:rPr>
          <w:rFonts w:ascii="Arial" w:eastAsia="Arial Unicode MS" w:hAnsi="Arial" w:cs="Arial"/>
          <w:sz w:val="20"/>
          <w:szCs w:val="20"/>
          <w:lang w:val="en-GB"/>
        </w:rPr>
        <w:t xml:space="preserve"> GMG OpenColor 2.3. A total of 294 colors have been added to the PANTONE Solid Coated &amp; Uncoated database and are available to GMG OpenColor users</w:t>
      </w:r>
      <w:r w:rsidR="00921D3B">
        <w:rPr>
          <w:rFonts w:ascii="Arial" w:eastAsia="Arial Unicode MS" w:hAnsi="Arial" w:cs="Arial"/>
          <w:sz w:val="20"/>
          <w:szCs w:val="20"/>
          <w:lang w:val="en-GB"/>
        </w:rPr>
        <w:t xml:space="preserve"> after updating</w:t>
      </w:r>
      <w:r>
        <w:rPr>
          <w:rFonts w:ascii="Arial" w:eastAsia="Arial Unicode MS" w:hAnsi="Arial" w:cs="Arial"/>
          <w:sz w:val="20"/>
          <w:szCs w:val="20"/>
          <w:lang w:val="en-GB"/>
        </w:rPr>
        <w:t xml:space="preserve">. </w:t>
      </w:r>
    </w:p>
    <w:p w:rsidR="00440BFD" w:rsidRDefault="00440BFD" w:rsidP="00811345">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Murray Davies curves can now be </w:t>
      </w:r>
      <w:r w:rsidR="00142EAF">
        <w:rPr>
          <w:rFonts w:ascii="Arial" w:eastAsia="Arial Unicode MS" w:hAnsi="Arial" w:cs="Arial"/>
          <w:sz w:val="20"/>
          <w:szCs w:val="20"/>
          <w:lang w:val="en-GB"/>
        </w:rPr>
        <w:t>visualized at the same time also as</w:t>
      </w:r>
      <w:r>
        <w:rPr>
          <w:rFonts w:ascii="Arial" w:eastAsia="Arial Unicode MS" w:hAnsi="Arial" w:cs="Arial"/>
          <w:sz w:val="20"/>
          <w:szCs w:val="20"/>
          <w:lang w:val="en-GB"/>
        </w:rPr>
        <w:t xml:space="preserve"> Spot Color Tone Value (SCTV) curves with a single click, making it easier</w:t>
      </w:r>
      <w:r w:rsidR="00142EAF">
        <w:rPr>
          <w:rFonts w:ascii="Arial" w:eastAsia="Arial Unicode MS" w:hAnsi="Arial" w:cs="Arial"/>
          <w:sz w:val="20"/>
          <w:szCs w:val="20"/>
          <w:lang w:val="en-GB"/>
        </w:rPr>
        <w:t xml:space="preserve"> and clearer</w:t>
      </w:r>
      <w:r>
        <w:rPr>
          <w:rFonts w:ascii="Arial" w:eastAsia="Arial Unicode MS" w:hAnsi="Arial" w:cs="Arial"/>
          <w:sz w:val="20"/>
          <w:szCs w:val="20"/>
          <w:lang w:val="en-GB"/>
        </w:rPr>
        <w:t xml:space="preserve"> to correct the </w:t>
      </w:r>
      <w:r w:rsidR="00142EAF">
        <w:rPr>
          <w:rFonts w:ascii="Arial" w:eastAsia="Arial Unicode MS" w:hAnsi="Arial" w:cs="Arial"/>
          <w:sz w:val="20"/>
          <w:szCs w:val="20"/>
          <w:lang w:val="en-GB"/>
        </w:rPr>
        <w:t xml:space="preserve">dot gain </w:t>
      </w:r>
      <w:r>
        <w:rPr>
          <w:rFonts w:ascii="Arial" w:eastAsia="Arial Unicode MS" w:hAnsi="Arial" w:cs="Arial"/>
          <w:sz w:val="20"/>
          <w:szCs w:val="20"/>
          <w:lang w:val="en-GB"/>
        </w:rPr>
        <w:t>curve</w:t>
      </w:r>
      <w:r w:rsidR="00142EAF">
        <w:rPr>
          <w:rFonts w:ascii="Arial" w:eastAsia="Arial Unicode MS" w:hAnsi="Arial" w:cs="Arial"/>
          <w:sz w:val="20"/>
          <w:szCs w:val="20"/>
          <w:lang w:val="en-GB"/>
        </w:rPr>
        <w:t>s</w:t>
      </w:r>
      <w:r>
        <w:rPr>
          <w:rFonts w:ascii="Arial" w:eastAsia="Arial Unicode MS" w:hAnsi="Arial" w:cs="Arial"/>
          <w:sz w:val="20"/>
          <w:szCs w:val="20"/>
          <w:lang w:val="en-GB"/>
        </w:rPr>
        <w:t xml:space="preserve">. If you want to deepen your knowledge on topics such as SCTV, GMG is the right choice. With its in-house GMG Academy, the </w:t>
      </w:r>
      <w:proofErr w:type="spellStart"/>
      <w:r>
        <w:rPr>
          <w:rFonts w:ascii="Arial" w:eastAsia="Arial Unicode MS" w:hAnsi="Arial" w:cs="Arial"/>
          <w:sz w:val="20"/>
          <w:szCs w:val="20"/>
          <w:lang w:val="en-GB"/>
        </w:rPr>
        <w:t>Tuebingen</w:t>
      </w:r>
      <w:proofErr w:type="spellEnd"/>
      <w:r>
        <w:rPr>
          <w:rFonts w:ascii="Arial" w:eastAsia="Arial Unicode MS" w:hAnsi="Arial" w:cs="Arial"/>
          <w:sz w:val="20"/>
          <w:szCs w:val="20"/>
          <w:lang w:val="en-GB"/>
        </w:rPr>
        <w:t xml:space="preserve"> based company offers options for further education in addition to its products. According to customs, free webinars and extensive workshops will be part of the GMG Academy program in the coming year. Dates and registration at </w:t>
      </w:r>
      <w:hyperlink r:id="rId7" w:history="1">
        <w:r w:rsidRPr="00A511C8">
          <w:rPr>
            <w:rStyle w:val="Hyperlink"/>
            <w:rFonts w:ascii="Arial" w:eastAsia="Arial Unicode MS" w:hAnsi="Arial" w:cs="Arial"/>
            <w:sz w:val="20"/>
            <w:szCs w:val="20"/>
            <w:lang w:val="en-GB"/>
          </w:rPr>
          <w:t>www.gmgcolor.com/know-how/academy</w:t>
        </w:r>
      </w:hyperlink>
      <w:r>
        <w:rPr>
          <w:rFonts w:ascii="Arial" w:eastAsia="Arial Unicode MS" w:hAnsi="Arial" w:cs="Arial"/>
          <w:sz w:val="20"/>
          <w:szCs w:val="20"/>
          <w:lang w:val="en-GB"/>
        </w:rPr>
        <w:t xml:space="preserve">.  </w:t>
      </w:r>
    </w:p>
    <w:p w:rsidR="007B5AFF" w:rsidRDefault="007B5AFF"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More information on GMG </w:t>
      </w:r>
      <w:r w:rsidR="00F01674">
        <w:rPr>
          <w:rFonts w:ascii="Arial" w:eastAsia="Arial Unicode MS" w:hAnsi="Arial" w:cs="Arial"/>
          <w:sz w:val="20"/>
          <w:szCs w:val="20"/>
          <w:lang w:val="en-GB"/>
        </w:rPr>
        <w:t>OpenColor</w:t>
      </w:r>
      <w:r>
        <w:rPr>
          <w:rFonts w:ascii="Arial" w:eastAsia="Arial Unicode MS" w:hAnsi="Arial" w:cs="Arial"/>
          <w:sz w:val="20"/>
          <w:szCs w:val="20"/>
          <w:lang w:val="en-GB"/>
        </w:rPr>
        <w:t xml:space="preserve"> can be found at </w:t>
      </w:r>
      <w:hyperlink r:id="rId8" w:history="1">
        <w:r w:rsidR="00F01674" w:rsidRPr="008133CE">
          <w:rPr>
            <w:rStyle w:val="Hyperlink"/>
            <w:rFonts w:ascii="Arial" w:eastAsia="Arial Unicode MS" w:hAnsi="Arial" w:cs="Arial"/>
            <w:sz w:val="20"/>
            <w:szCs w:val="20"/>
            <w:lang w:val="en-GB"/>
          </w:rPr>
          <w:t>www.gmgcolor.com/products/</w:t>
        </w:r>
      </w:hyperlink>
      <w:r w:rsidR="00811345">
        <w:rPr>
          <w:rStyle w:val="Hyperlink"/>
          <w:rFonts w:ascii="Arial" w:eastAsia="Arial Unicode MS" w:hAnsi="Arial" w:cs="Arial"/>
          <w:sz w:val="20"/>
          <w:szCs w:val="20"/>
          <w:lang w:val="en-GB"/>
        </w:rPr>
        <w:t>opencolor</w:t>
      </w:r>
      <w:r w:rsidR="008F4700">
        <w:rPr>
          <w:rFonts w:ascii="Arial" w:eastAsia="Arial Unicode MS" w:hAnsi="Arial" w:cs="Arial"/>
          <w:sz w:val="20"/>
          <w:szCs w:val="20"/>
          <w:lang w:val="en-GB"/>
        </w:rPr>
        <w:t>.</w:t>
      </w:r>
    </w:p>
    <w:p w:rsidR="007B5AFF" w:rsidRPr="00D273FD" w:rsidRDefault="007B5AFF" w:rsidP="00870F5A">
      <w:pPr>
        <w:spacing w:after="0" w:line="280" w:lineRule="exact"/>
        <w:jc w:val="both"/>
        <w:rPr>
          <w:rFonts w:ascii="Arial" w:eastAsia="Arial Unicode MS" w:hAnsi="Arial" w:cs="Arial"/>
          <w:sz w:val="20"/>
          <w:szCs w:val="20"/>
          <w:lang w:val="en"/>
        </w:rPr>
      </w:pPr>
    </w:p>
    <w:p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273FD">
        <w:rPr>
          <w:rFonts w:ascii="Arial" w:eastAsia="Arial Unicode MS" w:hAnsi="Arial" w:cs="Arial"/>
        </w:rPr>
        <w:t>GMG is represented by branch offices and dealers worldwide.</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lastRenderedPageBreak/>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9">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2019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0"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1"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2"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3" w:history="1">
        <w:r w:rsidR="00681F87" w:rsidRPr="00D273FD">
          <w:rPr>
            <w:rStyle w:val="Hyperlink"/>
            <w:rFonts w:ascii="Arial" w:eastAsia="Arial Unicode MS" w:hAnsi="Arial" w:cs="Arial"/>
            <w:sz w:val="18"/>
            <w:szCs w:val="20"/>
            <w:lang w:val="en-GB"/>
          </w:rPr>
          <w:t>www.linkedin.com/company/gmg</w:t>
        </w:r>
      </w:hyperlink>
    </w:p>
    <w:p w:rsidR="00681F87" w:rsidRPr="00D273FD" w:rsidRDefault="00681F87" w:rsidP="00681F87">
      <w:pPr>
        <w:jc w:val="both"/>
        <w:rPr>
          <w:rFonts w:ascii="Arial" w:eastAsia="Arial Unicode MS" w:hAnsi="Arial" w:cs="Arial"/>
          <w:sz w:val="18"/>
          <w:szCs w:val="20"/>
          <w:lang w:val="en-GB"/>
        </w:rPr>
      </w:pPr>
    </w:p>
    <w:p w:rsidR="00087B1C" w:rsidRPr="00D273FD" w:rsidRDefault="00087B1C" w:rsidP="00681F87">
      <w:pPr>
        <w:jc w:val="both"/>
        <w:rPr>
          <w:rFonts w:ascii="Arial" w:eastAsia="Arial Unicode MS" w:hAnsi="Arial" w:cs="Arial"/>
          <w:sz w:val="18"/>
          <w:szCs w:val="20"/>
          <w:lang w:val="en-GB"/>
        </w:rPr>
      </w:pPr>
    </w:p>
    <w:p w:rsidR="00997BC6" w:rsidRPr="00D273FD" w:rsidRDefault="00DD25B1" w:rsidP="00997BC6">
      <w:pPr>
        <w:pStyle w:val="NoSpacing"/>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rsidR="00997BC6" w:rsidRPr="00D273FD" w:rsidRDefault="00997BC6" w:rsidP="00997BC6">
      <w:pPr>
        <w:pStyle w:val="NoSpacing"/>
        <w:rPr>
          <w:rFonts w:ascii="Arial" w:eastAsia="Arial Unicode MS" w:hAnsi="Arial" w:cs="Arial"/>
        </w:rPr>
      </w:pPr>
      <w:r w:rsidRPr="00D273FD">
        <w:rPr>
          <w:rFonts w:ascii="Arial" w:eastAsia="Arial Unicode MS" w:hAnsi="Arial" w:cs="Arial"/>
        </w:rPr>
        <w:t>E-mail: pr@gmgcolor.com</w:t>
      </w:r>
      <w:r w:rsidRPr="00D273FD">
        <w:rPr>
          <w:rFonts w:ascii="Arial" w:eastAsia="Arial Unicode MS" w:hAnsi="Arial" w:cs="Arial"/>
        </w:rPr>
        <w:tab/>
      </w:r>
      <w:r w:rsidRPr="00D273FD">
        <w:rPr>
          <w:rFonts w:ascii="Arial" w:eastAsia="Arial Unicode MS" w:hAnsi="Arial" w:cs="Arial"/>
        </w:rPr>
        <w:tab/>
        <w:t>E-mail: mgrass@adcomms.co.uk</w:t>
      </w:r>
      <w:r w:rsidRPr="00D273FD">
        <w:rPr>
          <w:rFonts w:ascii="Arial" w:eastAsia="Arial Unicode MS" w:hAnsi="Arial" w:cs="Arial"/>
        </w:rPr>
        <w:tab/>
        <w:t>E-mail: irv@press-plus.com</w:t>
      </w:r>
    </w:p>
    <w:sectPr w:rsidR="00997BC6" w:rsidRPr="00D273FD" w:rsidSect="00BB69CC">
      <w:headerReference w:type="default" r:id="rId14"/>
      <w:footerReference w:type="default" r:id="rId15"/>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1D" w:rsidRDefault="00FC751D" w:rsidP="00DE10B4">
      <w:pPr>
        <w:spacing w:after="0" w:line="240" w:lineRule="auto"/>
      </w:pPr>
      <w:r>
        <w:separator/>
      </w:r>
    </w:p>
  </w:endnote>
  <w:endnote w:type="continuationSeparator" w:id="0">
    <w:p w:rsidR="00FC751D" w:rsidRDefault="00FC751D"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BE753A">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BE753A">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1D" w:rsidRDefault="00FC751D" w:rsidP="00DE10B4">
      <w:pPr>
        <w:spacing w:after="0" w:line="240" w:lineRule="auto"/>
      </w:pPr>
      <w:r>
        <w:separator/>
      </w:r>
    </w:p>
  </w:footnote>
  <w:footnote w:type="continuationSeparator" w:id="0">
    <w:p w:rsidR="00FC751D" w:rsidRDefault="00FC751D"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14E16"/>
    <w:rsid w:val="0003591C"/>
    <w:rsid w:val="000377C5"/>
    <w:rsid w:val="00045119"/>
    <w:rsid w:val="000628BD"/>
    <w:rsid w:val="00083C3E"/>
    <w:rsid w:val="00087B1C"/>
    <w:rsid w:val="000B2745"/>
    <w:rsid w:val="000B61D3"/>
    <w:rsid w:val="000E07EA"/>
    <w:rsid w:val="000E6691"/>
    <w:rsid w:val="000F3398"/>
    <w:rsid w:val="000F505F"/>
    <w:rsid w:val="00102D3E"/>
    <w:rsid w:val="00124E78"/>
    <w:rsid w:val="00125B47"/>
    <w:rsid w:val="00136607"/>
    <w:rsid w:val="00142EAF"/>
    <w:rsid w:val="0014415D"/>
    <w:rsid w:val="001467D3"/>
    <w:rsid w:val="00150726"/>
    <w:rsid w:val="00171366"/>
    <w:rsid w:val="00175583"/>
    <w:rsid w:val="001A0773"/>
    <w:rsid w:val="001A10E2"/>
    <w:rsid w:val="001C065A"/>
    <w:rsid w:val="001C6849"/>
    <w:rsid w:val="00204473"/>
    <w:rsid w:val="0022347F"/>
    <w:rsid w:val="0023095D"/>
    <w:rsid w:val="002329A3"/>
    <w:rsid w:val="0023350C"/>
    <w:rsid w:val="002542A7"/>
    <w:rsid w:val="002546F3"/>
    <w:rsid w:val="0026067E"/>
    <w:rsid w:val="002610F0"/>
    <w:rsid w:val="002707D0"/>
    <w:rsid w:val="00276002"/>
    <w:rsid w:val="00284237"/>
    <w:rsid w:val="002953F7"/>
    <w:rsid w:val="002A34E7"/>
    <w:rsid w:val="002D5C11"/>
    <w:rsid w:val="002E7CA2"/>
    <w:rsid w:val="002F2C4A"/>
    <w:rsid w:val="00322A87"/>
    <w:rsid w:val="00327151"/>
    <w:rsid w:val="00355BE3"/>
    <w:rsid w:val="0036273E"/>
    <w:rsid w:val="00366D07"/>
    <w:rsid w:val="003768CA"/>
    <w:rsid w:val="0039021F"/>
    <w:rsid w:val="003902B4"/>
    <w:rsid w:val="003953F3"/>
    <w:rsid w:val="003962BE"/>
    <w:rsid w:val="003970AE"/>
    <w:rsid w:val="003A67FD"/>
    <w:rsid w:val="003B2725"/>
    <w:rsid w:val="003B40B7"/>
    <w:rsid w:val="003D6B79"/>
    <w:rsid w:val="003F3544"/>
    <w:rsid w:val="00400779"/>
    <w:rsid w:val="00414CE6"/>
    <w:rsid w:val="00434D51"/>
    <w:rsid w:val="00440576"/>
    <w:rsid w:val="00440BFD"/>
    <w:rsid w:val="004434B5"/>
    <w:rsid w:val="00452D9D"/>
    <w:rsid w:val="004645FF"/>
    <w:rsid w:val="00471FC4"/>
    <w:rsid w:val="004912EB"/>
    <w:rsid w:val="004A6222"/>
    <w:rsid w:val="004C134C"/>
    <w:rsid w:val="004C6403"/>
    <w:rsid w:val="004D6E85"/>
    <w:rsid w:val="004E3AB5"/>
    <w:rsid w:val="0050094E"/>
    <w:rsid w:val="005035F5"/>
    <w:rsid w:val="0051003E"/>
    <w:rsid w:val="005208E2"/>
    <w:rsid w:val="005210B2"/>
    <w:rsid w:val="0052320A"/>
    <w:rsid w:val="00527144"/>
    <w:rsid w:val="00590956"/>
    <w:rsid w:val="005B0707"/>
    <w:rsid w:val="005B71C1"/>
    <w:rsid w:val="005D3966"/>
    <w:rsid w:val="005E1A15"/>
    <w:rsid w:val="005F26C8"/>
    <w:rsid w:val="00610C92"/>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5ED"/>
    <w:rsid w:val="00751B7F"/>
    <w:rsid w:val="007555AD"/>
    <w:rsid w:val="0078274A"/>
    <w:rsid w:val="007848CA"/>
    <w:rsid w:val="00795A8A"/>
    <w:rsid w:val="00797AC7"/>
    <w:rsid w:val="007A1568"/>
    <w:rsid w:val="007A5269"/>
    <w:rsid w:val="007B04E3"/>
    <w:rsid w:val="007B1498"/>
    <w:rsid w:val="007B5AFF"/>
    <w:rsid w:val="007C6FC2"/>
    <w:rsid w:val="007D7DBD"/>
    <w:rsid w:val="007E219B"/>
    <w:rsid w:val="008007D8"/>
    <w:rsid w:val="008074D3"/>
    <w:rsid w:val="00811345"/>
    <w:rsid w:val="00812CD2"/>
    <w:rsid w:val="00833CAE"/>
    <w:rsid w:val="0086339D"/>
    <w:rsid w:val="00866B0B"/>
    <w:rsid w:val="0086751E"/>
    <w:rsid w:val="00870F5A"/>
    <w:rsid w:val="008A2754"/>
    <w:rsid w:val="008B17C0"/>
    <w:rsid w:val="008B2E8F"/>
    <w:rsid w:val="008B7CE4"/>
    <w:rsid w:val="008D26DD"/>
    <w:rsid w:val="008F4700"/>
    <w:rsid w:val="009051BB"/>
    <w:rsid w:val="0091769D"/>
    <w:rsid w:val="00921D3B"/>
    <w:rsid w:val="00922195"/>
    <w:rsid w:val="00950058"/>
    <w:rsid w:val="00953A76"/>
    <w:rsid w:val="00957768"/>
    <w:rsid w:val="00985316"/>
    <w:rsid w:val="0099304A"/>
    <w:rsid w:val="00997BC6"/>
    <w:rsid w:val="009B20A7"/>
    <w:rsid w:val="009C0AF8"/>
    <w:rsid w:val="009C30C3"/>
    <w:rsid w:val="009C5DE3"/>
    <w:rsid w:val="009D6D58"/>
    <w:rsid w:val="009D76D0"/>
    <w:rsid w:val="009F7CD7"/>
    <w:rsid w:val="00A066F8"/>
    <w:rsid w:val="00A11C5A"/>
    <w:rsid w:val="00A320E6"/>
    <w:rsid w:val="00A64109"/>
    <w:rsid w:val="00A654AB"/>
    <w:rsid w:val="00A84888"/>
    <w:rsid w:val="00AB44BC"/>
    <w:rsid w:val="00AB5118"/>
    <w:rsid w:val="00AB6333"/>
    <w:rsid w:val="00AC7CC7"/>
    <w:rsid w:val="00AF3B7A"/>
    <w:rsid w:val="00AF4084"/>
    <w:rsid w:val="00B36357"/>
    <w:rsid w:val="00B419D6"/>
    <w:rsid w:val="00B430BF"/>
    <w:rsid w:val="00B44BAB"/>
    <w:rsid w:val="00B47A2B"/>
    <w:rsid w:val="00B524AA"/>
    <w:rsid w:val="00B603DD"/>
    <w:rsid w:val="00B60768"/>
    <w:rsid w:val="00B80178"/>
    <w:rsid w:val="00B96B56"/>
    <w:rsid w:val="00BA3FC4"/>
    <w:rsid w:val="00BA730D"/>
    <w:rsid w:val="00BB69CC"/>
    <w:rsid w:val="00BE753A"/>
    <w:rsid w:val="00BF2463"/>
    <w:rsid w:val="00C123E4"/>
    <w:rsid w:val="00C17697"/>
    <w:rsid w:val="00C47B7F"/>
    <w:rsid w:val="00C56F94"/>
    <w:rsid w:val="00C6257B"/>
    <w:rsid w:val="00C649E8"/>
    <w:rsid w:val="00C8085F"/>
    <w:rsid w:val="00CA0CED"/>
    <w:rsid w:val="00CA3A1A"/>
    <w:rsid w:val="00CB2D67"/>
    <w:rsid w:val="00CB6E0E"/>
    <w:rsid w:val="00CB7D22"/>
    <w:rsid w:val="00CC6DB8"/>
    <w:rsid w:val="00CD2127"/>
    <w:rsid w:val="00CD4A19"/>
    <w:rsid w:val="00CF0E40"/>
    <w:rsid w:val="00CF43E3"/>
    <w:rsid w:val="00D273FD"/>
    <w:rsid w:val="00D3624E"/>
    <w:rsid w:val="00D37038"/>
    <w:rsid w:val="00D461DF"/>
    <w:rsid w:val="00D466EC"/>
    <w:rsid w:val="00DA7EF5"/>
    <w:rsid w:val="00DD25B1"/>
    <w:rsid w:val="00DE10B4"/>
    <w:rsid w:val="00DE455D"/>
    <w:rsid w:val="00DF117E"/>
    <w:rsid w:val="00E154B0"/>
    <w:rsid w:val="00E214E7"/>
    <w:rsid w:val="00E31FF9"/>
    <w:rsid w:val="00E52198"/>
    <w:rsid w:val="00E61E9E"/>
    <w:rsid w:val="00E6345C"/>
    <w:rsid w:val="00E6783C"/>
    <w:rsid w:val="00E94C1F"/>
    <w:rsid w:val="00EB730B"/>
    <w:rsid w:val="00EB7356"/>
    <w:rsid w:val="00EC632A"/>
    <w:rsid w:val="00ED40B8"/>
    <w:rsid w:val="00EF1954"/>
    <w:rsid w:val="00F01674"/>
    <w:rsid w:val="00F51000"/>
    <w:rsid w:val="00F53A16"/>
    <w:rsid w:val="00F768E8"/>
    <w:rsid w:val="00F8126D"/>
    <w:rsid w:val="00FB546D"/>
    <w:rsid w:val="00FB55E1"/>
    <w:rsid w:val="00FB759C"/>
    <w:rsid w:val="00FC751D"/>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gcolor.com/products/" TargetMode="External"/><Relationship Id="rId13" Type="http://schemas.openxmlformats.org/officeDocument/2006/relationships/hyperlink" Target="https://www.linkedin.com/company/gmg" TargetMode="External"/><Relationship Id="rId3" Type="http://schemas.openxmlformats.org/officeDocument/2006/relationships/settings" Target="settings.xml"/><Relationship Id="rId7" Type="http://schemas.openxmlformats.org/officeDocument/2006/relationships/hyperlink" Target="http://www.gmgcolor.com/know-how/academy" TargetMode="Externa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MGColo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0020-0553-49E0-8CC0-2B43F8A3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1</TotalTime>
  <Pages>2</Pages>
  <Words>626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129</cp:revision>
  <dcterms:created xsi:type="dcterms:W3CDTF">2019-09-03T11:02:00Z</dcterms:created>
  <dcterms:modified xsi:type="dcterms:W3CDTF">2019-12-05T09:20:00Z</dcterms:modified>
</cp:coreProperties>
</file>