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1468F" w14:textId="77777777" w:rsidR="00C61EAC" w:rsidRPr="00F60CB8" w:rsidRDefault="00C61EAC" w:rsidP="00C61EAC">
      <w:pPr>
        <w:spacing w:after="0" w:line="240" w:lineRule="auto"/>
        <w:rPr>
          <w:rFonts w:ascii="Calibri" w:hAnsi="Calibri" w:cs="Calibri"/>
        </w:rPr>
      </w:pPr>
      <w:r>
        <w:rPr>
          <w:rFonts w:ascii="Calibri" w:hAnsi="Calibri"/>
          <w:b/>
          <w:noProof/>
          <w:lang w:val="en-GB" w:eastAsia="en-GB"/>
        </w:rPr>
        <w:drawing>
          <wp:anchor distT="0" distB="0" distL="114300" distR="114300" simplePos="0" relativeHeight="251658240" behindDoc="1" locked="0" layoutInCell="1" allowOverlap="1" wp14:anchorId="468A59D6" wp14:editId="44A53844">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anchor>
        </w:drawing>
      </w:r>
    </w:p>
    <w:p w14:paraId="21BCAD2C" w14:textId="77777777" w:rsidR="00C61EAC" w:rsidRPr="00F60CB8" w:rsidRDefault="008728B4" w:rsidP="00C61EAC">
      <w:pPr>
        <w:spacing w:after="0" w:line="240" w:lineRule="auto"/>
        <w:rPr>
          <w:rFonts w:ascii="Calibri" w:hAnsi="Calibri" w:cs="Calibri"/>
          <w:b/>
        </w:rPr>
      </w:pPr>
      <w:r>
        <w:rPr>
          <w:rFonts w:ascii="Calibri" w:hAnsi="Calibri"/>
          <w:b/>
        </w:rPr>
        <w:t>Comunicado de prensa</w:t>
      </w:r>
    </w:p>
    <w:p w14:paraId="5E4C46ED" w14:textId="77777777" w:rsidR="00C61EAC" w:rsidRPr="00650A43" w:rsidRDefault="00C61EAC" w:rsidP="00C61EAC">
      <w:pPr>
        <w:spacing w:after="0" w:line="240" w:lineRule="auto"/>
        <w:rPr>
          <w:rFonts w:ascii="Calibri" w:hAnsi="Calibri" w:cs="Calibri"/>
        </w:rPr>
      </w:pPr>
    </w:p>
    <w:p w14:paraId="2F49D90D" w14:textId="77777777" w:rsidR="00E93CB1" w:rsidRPr="003C086A" w:rsidRDefault="00E93CB1" w:rsidP="00C61EAC">
      <w:pPr>
        <w:spacing w:after="0" w:line="240" w:lineRule="auto"/>
        <w:rPr>
          <w:rFonts w:ascii="Calibri" w:hAnsi="Calibri" w:cs="Calibri"/>
          <w:sz w:val="20"/>
        </w:rPr>
      </w:pPr>
      <w:r>
        <w:rPr>
          <w:rFonts w:ascii="Calibri" w:hAnsi="Calibri"/>
          <w:sz w:val="20"/>
        </w:rPr>
        <w:t>Contacto para medios de comunicación:</w:t>
      </w:r>
    </w:p>
    <w:p w14:paraId="3F18913A" w14:textId="70A20993" w:rsidR="00726784" w:rsidRPr="003C086A" w:rsidRDefault="00726784" w:rsidP="00A23C9A">
      <w:pPr>
        <w:spacing w:after="0" w:line="240" w:lineRule="auto"/>
        <w:rPr>
          <w:rFonts w:ascii="Calibri" w:hAnsi="Calibri" w:cs="Calibri"/>
          <w:sz w:val="20"/>
        </w:rPr>
      </w:pPr>
      <w:r>
        <w:rPr>
          <w:rFonts w:ascii="Calibri" w:hAnsi="Calibri"/>
          <w:sz w:val="20"/>
        </w:rPr>
        <w:t xml:space="preserve">Miraclon: </w:t>
      </w:r>
      <w:hyperlink r:id="rId11" w:history="1">
        <w:r w:rsidR="003E3FD3" w:rsidRPr="007435A8">
          <w:rPr>
            <w:rStyle w:val="Hyperlink"/>
            <w:rFonts w:ascii="Calibri" w:hAnsi="Calibri"/>
            <w:sz w:val="20"/>
          </w:rPr>
          <w:t>pr@miraclon.com</w:t>
        </w:r>
      </w:hyperlink>
      <w:r w:rsidR="003E3FD3">
        <w:rPr>
          <w:rFonts w:ascii="Calibri" w:hAnsi="Calibri"/>
          <w:sz w:val="20"/>
        </w:rPr>
        <w:t xml:space="preserve"> </w:t>
      </w:r>
    </w:p>
    <w:p w14:paraId="2C883F2E" w14:textId="77777777" w:rsidR="00F35CAB" w:rsidRPr="00650A43" w:rsidRDefault="00A23C9A" w:rsidP="00C61EAC">
      <w:pPr>
        <w:spacing w:after="0" w:line="240" w:lineRule="auto"/>
        <w:rPr>
          <w:rFonts w:ascii="Calibri" w:hAnsi="Calibri" w:cs="Calibri"/>
          <w:color w:val="FF0000"/>
          <w:sz w:val="20"/>
          <w:lang w:val="en-US"/>
        </w:rPr>
      </w:pPr>
      <w:r w:rsidRPr="00650A43">
        <w:rPr>
          <w:rFonts w:ascii="Calibri" w:hAnsi="Calibri"/>
          <w:sz w:val="20"/>
          <w:lang w:val="en-US"/>
        </w:rPr>
        <w:t xml:space="preserve">AD Communications: Imogen Woods - +44 (0) 1372 464470 – </w:t>
      </w:r>
      <w:hyperlink r:id="rId12" w:history="1">
        <w:r w:rsidRPr="00650A43">
          <w:rPr>
            <w:rStyle w:val="Hyperlink"/>
            <w:rFonts w:ascii="Calibri" w:hAnsi="Calibri"/>
            <w:sz w:val="20"/>
            <w:lang w:val="en-US"/>
          </w:rPr>
          <w:t>iwoods@adcomms.co.uk</w:t>
        </w:r>
      </w:hyperlink>
    </w:p>
    <w:p w14:paraId="01EC8AC7" w14:textId="77777777" w:rsidR="00D41D30" w:rsidRPr="00DF313C" w:rsidRDefault="00D41D30" w:rsidP="00C61EAC">
      <w:pPr>
        <w:spacing w:after="0" w:line="240" w:lineRule="auto"/>
        <w:rPr>
          <w:rFonts w:ascii="Calibri" w:hAnsi="Calibri" w:cs="Calibri"/>
          <w:lang w:val="en-US"/>
        </w:rPr>
      </w:pPr>
    </w:p>
    <w:p w14:paraId="6A949735" w14:textId="11D1B86E" w:rsidR="00AE065D" w:rsidRPr="00DF313C" w:rsidRDefault="003E3FD3" w:rsidP="00C61EAC">
      <w:pPr>
        <w:spacing w:after="0" w:line="240" w:lineRule="auto"/>
        <w:rPr>
          <w:rFonts w:ascii="Calibri" w:hAnsi="Calibri" w:cs="Calibri"/>
        </w:rPr>
      </w:pPr>
      <w:r>
        <w:rPr>
          <w:rFonts w:ascii="Calibri" w:hAnsi="Calibri"/>
        </w:rPr>
        <w:t>2</w:t>
      </w:r>
      <w:r w:rsidR="00503480">
        <w:rPr>
          <w:rFonts w:ascii="Calibri" w:hAnsi="Calibri"/>
        </w:rPr>
        <w:t>3</w:t>
      </w:r>
      <w:bookmarkStart w:id="0" w:name="_GoBack"/>
      <w:bookmarkEnd w:id="0"/>
      <w:r w:rsidR="00AE065D">
        <w:rPr>
          <w:rFonts w:ascii="Calibri" w:hAnsi="Calibri"/>
        </w:rPr>
        <w:t xml:space="preserve"> de julio de 2020</w:t>
      </w:r>
    </w:p>
    <w:p w14:paraId="6179BED2" w14:textId="77777777" w:rsidR="00AE065D" w:rsidRPr="00650A43" w:rsidRDefault="00AE065D" w:rsidP="00C61EAC">
      <w:pPr>
        <w:spacing w:after="0" w:line="240" w:lineRule="auto"/>
        <w:rPr>
          <w:rFonts w:ascii="Calibri" w:hAnsi="Calibri" w:cs="Calibri"/>
        </w:rPr>
      </w:pPr>
    </w:p>
    <w:p w14:paraId="169A64B8" w14:textId="77777777" w:rsidR="009051BE" w:rsidRPr="00F60CB8" w:rsidRDefault="003E09B6" w:rsidP="000A5EE0">
      <w:pPr>
        <w:spacing w:after="0" w:line="360" w:lineRule="auto"/>
        <w:jc w:val="center"/>
        <w:rPr>
          <w:rFonts w:ascii="Calibri" w:hAnsi="Calibri" w:cs="Calibri"/>
          <w:b/>
          <w:sz w:val="28"/>
          <w:szCs w:val="28"/>
        </w:rPr>
      </w:pPr>
      <w:r>
        <w:rPr>
          <w:rFonts w:ascii="Calibri" w:hAnsi="Calibri"/>
          <w:b/>
          <w:sz w:val="28"/>
          <w:szCs w:val="28"/>
        </w:rPr>
        <w:t>Miraclon nombra a Stephen McCartney director comercial de la región de Europa, África y Oriente Medio (EMEA)</w:t>
      </w:r>
    </w:p>
    <w:p w14:paraId="3C16A5EF" w14:textId="77777777" w:rsidR="003E09B6" w:rsidRPr="00650A43" w:rsidRDefault="003E09B6" w:rsidP="00C61EAC">
      <w:pPr>
        <w:spacing w:after="0" w:line="360" w:lineRule="auto"/>
        <w:rPr>
          <w:rFonts w:ascii="Calibri" w:hAnsi="Calibri" w:cs="Calibri"/>
          <w:color w:val="000000"/>
          <w:shd w:val="clear" w:color="auto" w:fill="FFFFFF"/>
        </w:rPr>
      </w:pPr>
    </w:p>
    <w:p w14:paraId="4BE8996A" w14:textId="77777777" w:rsidR="00B74B8F" w:rsidRDefault="005443E0" w:rsidP="009C7EAF">
      <w:pPr>
        <w:spacing w:after="0" w:line="360" w:lineRule="auto"/>
        <w:jc w:val="both"/>
        <w:rPr>
          <w:rFonts w:ascii="Calibri" w:hAnsi="Calibri" w:cs="Calibri"/>
        </w:rPr>
      </w:pPr>
      <w:r>
        <w:rPr>
          <w:rFonts w:ascii="Calibri" w:hAnsi="Calibri"/>
        </w:rPr>
        <w:t xml:space="preserve">Miraclon tiene el placer de anunciar el nombramiento de Stephen McCartney como director comercial de la región EMEA. En su función, Stephen dirigirá el equipo comercial de la región con el objetivo de apoyar el crecimiento en los segmentos de mercado estratégicos para Miraclon. </w:t>
      </w:r>
    </w:p>
    <w:p w14:paraId="35525E4F" w14:textId="77777777" w:rsidR="00C653A5" w:rsidRPr="00650A43" w:rsidRDefault="00C653A5" w:rsidP="009C7EAF">
      <w:pPr>
        <w:spacing w:after="0" w:line="360" w:lineRule="auto"/>
        <w:jc w:val="both"/>
        <w:rPr>
          <w:rFonts w:ascii="Calibri" w:hAnsi="Calibri" w:cs="Calibri"/>
        </w:rPr>
      </w:pPr>
    </w:p>
    <w:p w14:paraId="33F8DEA2" w14:textId="77777777" w:rsidR="00C653A5" w:rsidRDefault="002269F1" w:rsidP="009C7EAF">
      <w:pPr>
        <w:spacing w:after="0" w:line="360" w:lineRule="auto"/>
        <w:jc w:val="both"/>
        <w:rPr>
          <w:rFonts w:ascii="Calibri" w:hAnsi="Calibri" w:cs="Calibri"/>
        </w:rPr>
      </w:pPr>
      <w:r>
        <w:rPr>
          <w:rFonts w:ascii="Calibri" w:hAnsi="Calibri"/>
        </w:rPr>
        <w:t>Stephen aporta a Miraclon sus más de 25 años de experiencia en gestión comercial y de distribución B2B. Stephen comenta: “Durante el último año, Miraclon ha experimentado un excelente crecimiento en el mercado de la impresión flexográfica en la región EMEA, lo cual confirma el prestigio de su experimentado equipo de ventas y soporte técnico. En mi nueva función como director comercial, mi objetivo es trabajar estrechamente con el equipo, nuestros clientes y socios comerciales para impulsar el crecimiento del negocio. Es un gran momento para unirse a la compañía y estoy emocionado de formar parte de este viaje”.</w:t>
      </w:r>
    </w:p>
    <w:p w14:paraId="6D81AFD6" w14:textId="77777777" w:rsidR="00C653A5" w:rsidRPr="00650A43" w:rsidRDefault="00C653A5" w:rsidP="009C7EAF">
      <w:pPr>
        <w:spacing w:after="0" w:line="360" w:lineRule="auto"/>
        <w:jc w:val="both"/>
        <w:rPr>
          <w:rFonts w:ascii="Calibri" w:hAnsi="Calibri" w:cs="Calibri"/>
        </w:rPr>
      </w:pPr>
    </w:p>
    <w:p w14:paraId="23438D6B" w14:textId="77777777" w:rsidR="00C653A5" w:rsidRDefault="00C653A5" w:rsidP="009C7EAF">
      <w:pPr>
        <w:spacing w:after="0" w:line="360" w:lineRule="auto"/>
        <w:jc w:val="both"/>
        <w:rPr>
          <w:rFonts w:ascii="Calibri" w:hAnsi="Calibri" w:cs="Calibri"/>
          <w:color w:val="000000" w:themeColor="text1"/>
          <w:shd w:val="clear" w:color="auto" w:fill="FFFFFF"/>
        </w:rPr>
      </w:pPr>
      <w:r>
        <w:rPr>
          <w:rFonts w:ascii="Calibri" w:hAnsi="Calibri"/>
        </w:rPr>
        <w:t>Grant Blewett, director comercial de Miraclon, dice al respecto: “Nos complace dar la bienvenida a Stephen a nuestro equipo en expansión aquí en Miraclon. Stephen se incorpora a Miraclon como parte de su inversión sostenida en la gestión y el talento. Será fundamental para la ejecución de todos los proyectos de crecimiento y optimización comercial regional en EMEA. Confiamos en que, con su experiencia en ventas B2B internacionales y su historial de crecimiento de ingresos, Stephen será una valiosa incorporación a nuestro equipo. Me gustaría desearle lo mejor en su nuevo cargo”.</w:t>
      </w:r>
    </w:p>
    <w:p w14:paraId="71951244" w14:textId="77777777" w:rsidR="00C4385A" w:rsidRPr="00650A43" w:rsidRDefault="00C4385A" w:rsidP="00C61EAC">
      <w:pPr>
        <w:spacing w:after="0" w:line="360" w:lineRule="auto"/>
        <w:rPr>
          <w:rFonts w:ascii="Calibri" w:hAnsi="Calibri" w:cs="Calibri"/>
          <w:color w:val="000000" w:themeColor="text1"/>
          <w:shd w:val="clear" w:color="auto" w:fill="FFFFFF"/>
        </w:rPr>
      </w:pPr>
    </w:p>
    <w:p w14:paraId="7EEAB715" w14:textId="7777777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0D7E8E8D" w14:textId="77777777" w:rsidR="00C61EAC" w:rsidRPr="00650A43" w:rsidRDefault="00C61EAC" w:rsidP="00C61EAC">
      <w:pPr>
        <w:spacing w:after="0" w:line="240" w:lineRule="auto"/>
        <w:rPr>
          <w:rFonts w:cstheme="minorHAnsi"/>
        </w:rPr>
      </w:pPr>
    </w:p>
    <w:p w14:paraId="4B2F7CAE" w14:textId="77777777" w:rsidR="00C61EAC" w:rsidRPr="00F60CB8" w:rsidRDefault="00C61EAC" w:rsidP="00C61EAC">
      <w:pPr>
        <w:tabs>
          <w:tab w:val="left" w:pos="360"/>
          <w:tab w:val="right" w:pos="9360"/>
        </w:tabs>
        <w:spacing w:after="0" w:line="240" w:lineRule="auto"/>
        <w:textAlignment w:val="baseline"/>
        <w:rPr>
          <w:rFonts w:cstheme="minorHAnsi"/>
          <w:b/>
          <w:bCs/>
          <w:sz w:val="20"/>
          <w:szCs w:val="20"/>
        </w:rPr>
      </w:pPr>
      <w:r>
        <w:rPr>
          <w:b/>
          <w:bCs/>
          <w:sz w:val="20"/>
          <w:szCs w:val="20"/>
        </w:rPr>
        <w:t>Acerca de Miraclon</w:t>
      </w:r>
    </w:p>
    <w:p w14:paraId="77CF07A8" w14:textId="71AD921B" w:rsidR="00C61EAC" w:rsidRPr="00F60CB8" w:rsidRDefault="00C61EAC" w:rsidP="00C61EAC">
      <w:pPr>
        <w:spacing w:after="0" w:line="240" w:lineRule="auto"/>
        <w:rPr>
          <w:rFonts w:cstheme="minorHAnsi"/>
          <w:sz w:val="20"/>
          <w:szCs w:val="20"/>
        </w:rPr>
      </w:pPr>
      <w:r>
        <w:rPr>
          <w:sz w:val="20"/>
          <w:szCs w:val="20"/>
        </w:rPr>
        <w:t xml:space="preserve">Durante la última década, las KODAK FLEXCEL Solutions han ayudado a transformar la impresión flexográfica. Ahora prestadas por Miraclon, las KODAK FLEXCEL Solutions, incluyendo el sistema FLEXCEL NX System líder en el sector, ofrecen al cliente mayor calidad, eficiencia de costes mejorada, aumento de la productividad y los mejores resultados de su clase. Con un enfoque pionero en la ciencia de procesamiento de imágenes, la innovación y la colaboración con clientes y socios del sector, Miraclon se compromete con el futuro de la impresión flexo y está posicionada para liderar el cambio. Para obtener más información, visite </w:t>
      </w:r>
      <w:hyperlink r:id="rId13" w:history="1">
        <w:r>
          <w:rPr>
            <w:rStyle w:val="Hyperlink"/>
            <w:sz w:val="20"/>
            <w:szCs w:val="20"/>
          </w:rPr>
          <w:t>www.miraclon.com</w:t>
        </w:r>
      </w:hyperlink>
      <w:r>
        <w:rPr>
          <w:sz w:val="20"/>
          <w:szCs w:val="20"/>
        </w:rPr>
        <w:t xml:space="preserve">. Síganos en Twitter en @kodakflexcel y conecte con nosotros en LinkedIn bajo Miraclon Corporation. </w:t>
      </w:r>
    </w:p>
    <w:p w14:paraId="5C65C02D" w14:textId="77777777" w:rsidR="00C61EAC" w:rsidRPr="00650A43" w:rsidRDefault="00C61EAC" w:rsidP="00C61EAC">
      <w:pPr>
        <w:spacing w:after="0" w:line="240" w:lineRule="auto"/>
        <w:rPr>
          <w:rFonts w:ascii="Calibri" w:hAnsi="Calibri" w:cs="Calibri"/>
          <w:color w:val="000000"/>
          <w:shd w:val="clear" w:color="auto" w:fill="FFFFFF"/>
        </w:rPr>
      </w:pPr>
    </w:p>
    <w:sectPr w:rsidR="00C61EAC" w:rsidRPr="00650A43" w:rsidSect="00C61EAC">
      <w:footerReference w:type="default" r:id="rId14"/>
      <w:pgSz w:w="11906" w:h="16838" w:code="9"/>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52855" w14:textId="77777777" w:rsidR="002A267A" w:rsidRDefault="002A267A" w:rsidP="00C61EAC">
      <w:pPr>
        <w:spacing w:after="0" w:line="240" w:lineRule="auto"/>
      </w:pPr>
      <w:r>
        <w:separator/>
      </w:r>
    </w:p>
  </w:endnote>
  <w:endnote w:type="continuationSeparator" w:id="0">
    <w:p w14:paraId="16207A2B" w14:textId="77777777" w:rsidR="002A267A" w:rsidRDefault="002A267A"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ACA9" w14:textId="77777777" w:rsidR="000A5EE0" w:rsidRDefault="000A5EE0" w:rsidP="000A5EE0">
    <w:pPr>
      <w:pStyle w:val="Footer"/>
      <w:tabs>
        <w:tab w:val="clear" w:pos="4680"/>
        <w:tab w:val="clear" w:pos="9360"/>
        <w:tab w:val="center" w:pos="4536"/>
      </w:tabs>
    </w:pPr>
  </w:p>
  <w:p w14:paraId="3CEC9F58" w14:textId="77777777"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041E0F03" wp14:editId="10328FFA">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5429" w14:textId="77777777" w:rsidR="002A267A" w:rsidRDefault="002A267A" w:rsidP="00C61EAC">
      <w:pPr>
        <w:spacing w:after="0" w:line="240" w:lineRule="auto"/>
      </w:pPr>
      <w:r>
        <w:separator/>
      </w:r>
    </w:p>
  </w:footnote>
  <w:footnote w:type="continuationSeparator" w:id="0">
    <w:p w14:paraId="10942002" w14:textId="77777777" w:rsidR="002A267A" w:rsidRDefault="002A267A"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MDY1sbA0NTY0tDBU0lEKTi0uzszPAykwNKgFAOXneyAtAAAA"/>
  </w:docVars>
  <w:rsids>
    <w:rsidRoot w:val="004F4A6F"/>
    <w:rsid w:val="00004561"/>
    <w:rsid w:val="00010C21"/>
    <w:rsid w:val="00015299"/>
    <w:rsid w:val="00017F5C"/>
    <w:rsid w:val="00045341"/>
    <w:rsid w:val="00053FF9"/>
    <w:rsid w:val="0005704C"/>
    <w:rsid w:val="000574EC"/>
    <w:rsid w:val="00062C21"/>
    <w:rsid w:val="0006445D"/>
    <w:rsid w:val="00070DA2"/>
    <w:rsid w:val="000816E7"/>
    <w:rsid w:val="00084D58"/>
    <w:rsid w:val="000919D7"/>
    <w:rsid w:val="00097386"/>
    <w:rsid w:val="000A5EE0"/>
    <w:rsid w:val="000B004B"/>
    <w:rsid w:val="000D3A7F"/>
    <w:rsid w:val="000D4A60"/>
    <w:rsid w:val="000D4DCD"/>
    <w:rsid w:val="000E6D7A"/>
    <w:rsid w:val="00103D72"/>
    <w:rsid w:val="00107430"/>
    <w:rsid w:val="00107436"/>
    <w:rsid w:val="00111C90"/>
    <w:rsid w:val="00115950"/>
    <w:rsid w:val="00121AB4"/>
    <w:rsid w:val="00124104"/>
    <w:rsid w:val="001424AE"/>
    <w:rsid w:val="00150996"/>
    <w:rsid w:val="001623A6"/>
    <w:rsid w:val="0016647F"/>
    <w:rsid w:val="00172291"/>
    <w:rsid w:val="001B0115"/>
    <w:rsid w:val="001E0BF3"/>
    <w:rsid w:val="001E31B2"/>
    <w:rsid w:val="001E3449"/>
    <w:rsid w:val="001F0EA6"/>
    <w:rsid w:val="001F6E02"/>
    <w:rsid w:val="00200D97"/>
    <w:rsid w:val="00204AAF"/>
    <w:rsid w:val="00206F1D"/>
    <w:rsid w:val="002150F6"/>
    <w:rsid w:val="002269F1"/>
    <w:rsid w:val="00232DA1"/>
    <w:rsid w:val="002438A9"/>
    <w:rsid w:val="002768EE"/>
    <w:rsid w:val="0028023B"/>
    <w:rsid w:val="002A267A"/>
    <w:rsid w:val="002A40F2"/>
    <w:rsid w:val="002A4FEC"/>
    <w:rsid w:val="002A7973"/>
    <w:rsid w:val="002B3FD5"/>
    <w:rsid w:val="002C0518"/>
    <w:rsid w:val="002C7015"/>
    <w:rsid w:val="002D3193"/>
    <w:rsid w:val="002D333D"/>
    <w:rsid w:val="002D7192"/>
    <w:rsid w:val="002F084F"/>
    <w:rsid w:val="002F772E"/>
    <w:rsid w:val="00304CE0"/>
    <w:rsid w:val="00325A80"/>
    <w:rsid w:val="003272CC"/>
    <w:rsid w:val="003407EC"/>
    <w:rsid w:val="00343A14"/>
    <w:rsid w:val="00345FC6"/>
    <w:rsid w:val="00355DA5"/>
    <w:rsid w:val="00356656"/>
    <w:rsid w:val="00361BD8"/>
    <w:rsid w:val="00367655"/>
    <w:rsid w:val="00367FF6"/>
    <w:rsid w:val="00372E1A"/>
    <w:rsid w:val="00375BEB"/>
    <w:rsid w:val="00383236"/>
    <w:rsid w:val="00391E20"/>
    <w:rsid w:val="003A0A0F"/>
    <w:rsid w:val="003A259E"/>
    <w:rsid w:val="003B05DB"/>
    <w:rsid w:val="003B2B7A"/>
    <w:rsid w:val="003B3808"/>
    <w:rsid w:val="003B5EDA"/>
    <w:rsid w:val="003B6807"/>
    <w:rsid w:val="003C086A"/>
    <w:rsid w:val="003C5C2A"/>
    <w:rsid w:val="003C658A"/>
    <w:rsid w:val="003D3D8C"/>
    <w:rsid w:val="003D73A8"/>
    <w:rsid w:val="003E09B6"/>
    <w:rsid w:val="003E3FD3"/>
    <w:rsid w:val="003E4AD1"/>
    <w:rsid w:val="003E5D3B"/>
    <w:rsid w:val="004059BE"/>
    <w:rsid w:val="00407FA4"/>
    <w:rsid w:val="00413DE4"/>
    <w:rsid w:val="0042418E"/>
    <w:rsid w:val="00432770"/>
    <w:rsid w:val="0043321C"/>
    <w:rsid w:val="00433673"/>
    <w:rsid w:val="00446D3C"/>
    <w:rsid w:val="00450A7F"/>
    <w:rsid w:val="004537EF"/>
    <w:rsid w:val="00454C13"/>
    <w:rsid w:val="00457BB7"/>
    <w:rsid w:val="00460D55"/>
    <w:rsid w:val="004662F5"/>
    <w:rsid w:val="00473FC3"/>
    <w:rsid w:val="00475A85"/>
    <w:rsid w:val="004763E9"/>
    <w:rsid w:val="00481D87"/>
    <w:rsid w:val="00486D1F"/>
    <w:rsid w:val="004A5869"/>
    <w:rsid w:val="004A7882"/>
    <w:rsid w:val="004C0446"/>
    <w:rsid w:val="004C2B7E"/>
    <w:rsid w:val="004D2E19"/>
    <w:rsid w:val="004D3117"/>
    <w:rsid w:val="004D3EB0"/>
    <w:rsid w:val="004E7BE1"/>
    <w:rsid w:val="004F4A6F"/>
    <w:rsid w:val="004F6110"/>
    <w:rsid w:val="004F773A"/>
    <w:rsid w:val="005033EA"/>
    <w:rsid w:val="00503480"/>
    <w:rsid w:val="005035A1"/>
    <w:rsid w:val="00511A19"/>
    <w:rsid w:val="00511C82"/>
    <w:rsid w:val="00511CB4"/>
    <w:rsid w:val="00517B66"/>
    <w:rsid w:val="00524AAF"/>
    <w:rsid w:val="00530A2C"/>
    <w:rsid w:val="0053559A"/>
    <w:rsid w:val="00543CF6"/>
    <w:rsid w:val="005443E0"/>
    <w:rsid w:val="00544836"/>
    <w:rsid w:val="00567F13"/>
    <w:rsid w:val="00590336"/>
    <w:rsid w:val="0059076B"/>
    <w:rsid w:val="005931BE"/>
    <w:rsid w:val="00594319"/>
    <w:rsid w:val="005D5537"/>
    <w:rsid w:val="005E08E1"/>
    <w:rsid w:val="005E4254"/>
    <w:rsid w:val="005E79ED"/>
    <w:rsid w:val="0060485D"/>
    <w:rsid w:val="006103F2"/>
    <w:rsid w:val="00612DE3"/>
    <w:rsid w:val="00650A43"/>
    <w:rsid w:val="006733A9"/>
    <w:rsid w:val="00682B38"/>
    <w:rsid w:val="00686F74"/>
    <w:rsid w:val="006872FE"/>
    <w:rsid w:val="006B3DF5"/>
    <w:rsid w:val="006C12F0"/>
    <w:rsid w:val="006C4CC4"/>
    <w:rsid w:val="006D1174"/>
    <w:rsid w:val="006D53F1"/>
    <w:rsid w:val="006D7FC8"/>
    <w:rsid w:val="006F6FB2"/>
    <w:rsid w:val="0072219C"/>
    <w:rsid w:val="00722F0F"/>
    <w:rsid w:val="00726784"/>
    <w:rsid w:val="00734CA4"/>
    <w:rsid w:val="00780FDD"/>
    <w:rsid w:val="00781598"/>
    <w:rsid w:val="00796A51"/>
    <w:rsid w:val="007A47DE"/>
    <w:rsid w:val="007A552A"/>
    <w:rsid w:val="007B2AA6"/>
    <w:rsid w:val="007B470C"/>
    <w:rsid w:val="007B6045"/>
    <w:rsid w:val="007B62F5"/>
    <w:rsid w:val="007C3FBE"/>
    <w:rsid w:val="007E0F5D"/>
    <w:rsid w:val="00802FE2"/>
    <w:rsid w:val="00814557"/>
    <w:rsid w:val="00817EBF"/>
    <w:rsid w:val="00823E89"/>
    <w:rsid w:val="00836D13"/>
    <w:rsid w:val="00862F14"/>
    <w:rsid w:val="008728B4"/>
    <w:rsid w:val="008749A1"/>
    <w:rsid w:val="00875B2B"/>
    <w:rsid w:val="008816E3"/>
    <w:rsid w:val="00897736"/>
    <w:rsid w:val="008C5AB7"/>
    <w:rsid w:val="008E2567"/>
    <w:rsid w:val="008F3CA8"/>
    <w:rsid w:val="009035FE"/>
    <w:rsid w:val="009051BE"/>
    <w:rsid w:val="00906969"/>
    <w:rsid w:val="00926EA9"/>
    <w:rsid w:val="009446D8"/>
    <w:rsid w:val="00972CA7"/>
    <w:rsid w:val="00982DFE"/>
    <w:rsid w:val="00985AB7"/>
    <w:rsid w:val="00987B96"/>
    <w:rsid w:val="00993B04"/>
    <w:rsid w:val="009A1618"/>
    <w:rsid w:val="009B7C46"/>
    <w:rsid w:val="009C0430"/>
    <w:rsid w:val="009C045E"/>
    <w:rsid w:val="009C7EAF"/>
    <w:rsid w:val="009D02DF"/>
    <w:rsid w:val="009E4D6F"/>
    <w:rsid w:val="00A114DA"/>
    <w:rsid w:val="00A23C9A"/>
    <w:rsid w:val="00A27A6B"/>
    <w:rsid w:val="00A3564E"/>
    <w:rsid w:val="00A4749B"/>
    <w:rsid w:val="00A56DD1"/>
    <w:rsid w:val="00A678B2"/>
    <w:rsid w:val="00A75320"/>
    <w:rsid w:val="00A76916"/>
    <w:rsid w:val="00A8605F"/>
    <w:rsid w:val="00A923D1"/>
    <w:rsid w:val="00AA22CF"/>
    <w:rsid w:val="00AA28AD"/>
    <w:rsid w:val="00AA3DEC"/>
    <w:rsid w:val="00AB4752"/>
    <w:rsid w:val="00AB5995"/>
    <w:rsid w:val="00AC0AA6"/>
    <w:rsid w:val="00AC2972"/>
    <w:rsid w:val="00AD46C0"/>
    <w:rsid w:val="00AD6998"/>
    <w:rsid w:val="00AE065D"/>
    <w:rsid w:val="00AE20F1"/>
    <w:rsid w:val="00B03F85"/>
    <w:rsid w:val="00B10342"/>
    <w:rsid w:val="00B164F1"/>
    <w:rsid w:val="00B2425F"/>
    <w:rsid w:val="00B5165B"/>
    <w:rsid w:val="00B528A7"/>
    <w:rsid w:val="00B53BEA"/>
    <w:rsid w:val="00B5442D"/>
    <w:rsid w:val="00B6568E"/>
    <w:rsid w:val="00B7459A"/>
    <w:rsid w:val="00B74B8F"/>
    <w:rsid w:val="00B77373"/>
    <w:rsid w:val="00B7793E"/>
    <w:rsid w:val="00B91D3B"/>
    <w:rsid w:val="00B94CDD"/>
    <w:rsid w:val="00BC02E9"/>
    <w:rsid w:val="00BC1B51"/>
    <w:rsid w:val="00C050BB"/>
    <w:rsid w:val="00C07E9E"/>
    <w:rsid w:val="00C16498"/>
    <w:rsid w:val="00C37C57"/>
    <w:rsid w:val="00C4385A"/>
    <w:rsid w:val="00C4683B"/>
    <w:rsid w:val="00C54CB8"/>
    <w:rsid w:val="00C553C8"/>
    <w:rsid w:val="00C5693D"/>
    <w:rsid w:val="00C61EAC"/>
    <w:rsid w:val="00C65301"/>
    <w:rsid w:val="00C653A5"/>
    <w:rsid w:val="00CB0E6D"/>
    <w:rsid w:val="00CB12A9"/>
    <w:rsid w:val="00CD0FD6"/>
    <w:rsid w:val="00CF0716"/>
    <w:rsid w:val="00CF30EE"/>
    <w:rsid w:val="00CF5F79"/>
    <w:rsid w:val="00D164FC"/>
    <w:rsid w:val="00D348F0"/>
    <w:rsid w:val="00D41D30"/>
    <w:rsid w:val="00D512FF"/>
    <w:rsid w:val="00D70060"/>
    <w:rsid w:val="00D73990"/>
    <w:rsid w:val="00D75063"/>
    <w:rsid w:val="00D778B7"/>
    <w:rsid w:val="00D77BA9"/>
    <w:rsid w:val="00D8683B"/>
    <w:rsid w:val="00D957FB"/>
    <w:rsid w:val="00DA6B39"/>
    <w:rsid w:val="00DB33AC"/>
    <w:rsid w:val="00DC2D82"/>
    <w:rsid w:val="00DD17DD"/>
    <w:rsid w:val="00DD7782"/>
    <w:rsid w:val="00DE347C"/>
    <w:rsid w:val="00DF313C"/>
    <w:rsid w:val="00E11C33"/>
    <w:rsid w:val="00E1373A"/>
    <w:rsid w:val="00E40F32"/>
    <w:rsid w:val="00E6002A"/>
    <w:rsid w:val="00E615F4"/>
    <w:rsid w:val="00E66D0F"/>
    <w:rsid w:val="00E71504"/>
    <w:rsid w:val="00E91B63"/>
    <w:rsid w:val="00E93CB1"/>
    <w:rsid w:val="00EA349D"/>
    <w:rsid w:val="00EB4D33"/>
    <w:rsid w:val="00EB5EA0"/>
    <w:rsid w:val="00EC04DB"/>
    <w:rsid w:val="00EC35B2"/>
    <w:rsid w:val="00ED0CC0"/>
    <w:rsid w:val="00ED2DBA"/>
    <w:rsid w:val="00EF08C3"/>
    <w:rsid w:val="00EF1F92"/>
    <w:rsid w:val="00F050EB"/>
    <w:rsid w:val="00F2029A"/>
    <w:rsid w:val="00F332B1"/>
    <w:rsid w:val="00F336B5"/>
    <w:rsid w:val="00F336C4"/>
    <w:rsid w:val="00F35CAB"/>
    <w:rsid w:val="00F375CD"/>
    <w:rsid w:val="00F42CA7"/>
    <w:rsid w:val="00F50A4B"/>
    <w:rsid w:val="00F60CB8"/>
    <w:rsid w:val="00F63056"/>
    <w:rsid w:val="00F650DC"/>
    <w:rsid w:val="00F65570"/>
    <w:rsid w:val="00F75A9A"/>
    <w:rsid w:val="00F75BBC"/>
    <w:rsid w:val="00F909E4"/>
    <w:rsid w:val="00FB3599"/>
    <w:rsid w:val="00FB53B4"/>
    <w:rsid w:val="00FB7D30"/>
    <w:rsid w:val="00FD5B02"/>
    <w:rsid w:val="00FD607B"/>
    <w:rsid w:val="00FE5329"/>
    <w:rsid w:val="00FE77CB"/>
    <w:rsid w:val="00FF2DA9"/>
    <w:rsid w:val="00FF3B01"/>
    <w:rsid w:val="00FF4372"/>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E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B8"/>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E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E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76CC-D519-4A83-AC89-0A6E836F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97AC56-0E87-483E-A7D7-A54049428F14}">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7D8CE20-D36D-40E2-AA29-3CFA729FC654}">
  <ds:schemaRefs>
    <ds:schemaRef ds:uri="http://schemas.microsoft.com/sharepoint/v3/contenttype/forms"/>
  </ds:schemaRefs>
</ds:datastoreItem>
</file>

<file path=customXml/itemProps4.xml><?xml version="1.0" encoding="utf-8"?>
<ds:datastoreItem xmlns:ds="http://schemas.openxmlformats.org/officeDocument/2006/customXml" ds:itemID="{76980BEC-96E6-4A6D-8089-0FD648B6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2020-07-22T15:02:00Z</dcterms:created>
  <dcterms:modified xsi:type="dcterms:W3CDTF">2020-07-22T15:19:00Z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