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4AF8" w14:textId="77777777" w:rsidR="0005095B" w:rsidRPr="00F40C85" w:rsidRDefault="0005095B" w:rsidP="0005095B">
      <w:pPr>
        <w:pStyle w:val="p1"/>
        <w:spacing w:line="360" w:lineRule="auto"/>
        <w:rPr>
          <w:b/>
          <w:bCs/>
          <w:sz w:val="22"/>
          <w:szCs w:val="22"/>
        </w:rPr>
      </w:pPr>
      <w:r>
        <w:rPr>
          <w:b/>
          <w:bCs/>
          <w:noProof/>
          <w:sz w:val="22"/>
          <w:szCs w:val="22"/>
        </w:rPr>
        <w:drawing>
          <wp:anchor distT="0" distB="0" distL="114300" distR="114300" simplePos="0" relativeHeight="251659264" behindDoc="1" locked="0" layoutInCell="1" allowOverlap="1" wp14:anchorId="4610522B" wp14:editId="7B2D250B">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Étude de cas</w:t>
      </w:r>
    </w:p>
    <w:p w14:paraId="65716F14" w14:textId="77777777" w:rsidR="00F40C85" w:rsidRDefault="00F40C85" w:rsidP="00F40C85">
      <w:pPr>
        <w:rPr>
          <w:rFonts w:ascii="Arial" w:hAnsi="Arial" w:cs="Arial"/>
          <w:szCs w:val="20"/>
        </w:rPr>
      </w:pPr>
    </w:p>
    <w:p w14:paraId="1ECDCDE2" w14:textId="0BF5880F" w:rsidR="0005095B" w:rsidRPr="00F40C85" w:rsidRDefault="0005095B" w:rsidP="00F40C85">
      <w:pPr>
        <w:rPr>
          <w:rFonts w:ascii="Arial" w:hAnsi="Arial" w:cs="Arial"/>
          <w:szCs w:val="20"/>
        </w:rPr>
      </w:pPr>
      <w:r>
        <w:rPr>
          <w:rFonts w:ascii="Arial" w:hAnsi="Arial"/>
          <w:szCs w:val="20"/>
        </w:rPr>
        <w:t xml:space="preserve">Contact presse : </w:t>
      </w:r>
    </w:p>
    <w:p w14:paraId="58601D02" w14:textId="4C58F681" w:rsidR="0005095B" w:rsidRPr="0048015F" w:rsidRDefault="0005095B" w:rsidP="00F40C85">
      <w:pPr>
        <w:rPr>
          <w:rFonts w:ascii="Arial" w:hAnsi="Arial" w:cs="Arial"/>
          <w:szCs w:val="20"/>
          <w:lang w:val="es-ES"/>
        </w:rPr>
      </w:pPr>
      <w:proofErr w:type="spellStart"/>
      <w:r w:rsidRPr="0048015F">
        <w:rPr>
          <w:rFonts w:ascii="Arial" w:hAnsi="Arial"/>
          <w:szCs w:val="20"/>
          <w:lang w:val="es-ES"/>
        </w:rPr>
        <w:t>Miraclon</w:t>
      </w:r>
      <w:proofErr w:type="spellEnd"/>
      <w:r w:rsidRPr="0048015F">
        <w:rPr>
          <w:rFonts w:ascii="Arial" w:hAnsi="Arial"/>
          <w:szCs w:val="20"/>
          <w:lang w:val="es-ES"/>
        </w:rPr>
        <w:t xml:space="preserve"> – </w:t>
      </w:r>
      <w:proofErr w:type="spellStart"/>
      <w:r w:rsidRPr="0048015F">
        <w:rPr>
          <w:rFonts w:ascii="Arial" w:hAnsi="Arial"/>
          <w:szCs w:val="20"/>
          <w:lang w:val="es-ES"/>
        </w:rPr>
        <w:t>Elni</w:t>
      </w:r>
      <w:proofErr w:type="spellEnd"/>
      <w:r w:rsidRPr="0048015F">
        <w:rPr>
          <w:rFonts w:ascii="Arial" w:hAnsi="Arial"/>
          <w:szCs w:val="20"/>
          <w:lang w:val="es-ES"/>
        </w:rPr>
        <w:t xml:space="preserve"> Van </w:t>
      </w:r>
      <w:proofErr w:type="spellStart"/>
      <w:r w:rsidRPr="0048015F">
        <w:rPr>
          <w:rFonts w:ascii="Arial" w:hAnsi="Arial"/>
          <w:szCs w:val="20"/>
          <w:lang w:val="es-ES"/>
        </w:rPr>
        <w:t>Rensburg</w:t>
      </w:r>
      <w:proofErr w:type="spellEnd"/>
      <w:r w:rsidRPr="0048015F">
        <w:rPr>
          <w:rFonts w:ascii="Arial" w:hAnsi="Arial"/>
          <w:szCs w:val="20"/>
          <w:lang w:val="es-ES"/>
        </w:rPr>
        <w:t xml:space="preserve"> - +1 830 317 0950 – </w:t>
      </w:r>
      <w:hyperlink r:id="rId8" w:history="1">
        <w:r w:rsidRPr="0048015F">
          <w:rPr>
            <w:rStyle w:val="Lienhypertexte"/>
            <w:rFonts w:ascii="Arial" w:hAnsi="Arial"/>
            <w:szCs w:val="20"/>
            <w:lang w:val="es-ES"/>
          </w:rPr>
          <w:t>elni.vanrensburg@miraclon.com</w:t>
        </w:r>
      </w:hyperlink>
      <w:r w:rsidRPr="0048015F">
        <w:rPr>
          <w:rFonts w:ascii="Arial" w:hAnsi="Arial"/>
          <w:szCs w:val="20"/>
          <w:lang w:val="es-ES"/>
        </w:rPr>
        <w:t xml:space="preserve"> </w:t>
      </w:r>
    </w:p>
    <w:p w14:paraId="6121E02E" w14:textId="77777777" w:rsidR="0005095B" w:rsidRPr="0048015F" w:rsidRDefault="0005095B" w:rsidP="00F40C85">
      <w:pPr>
        <w:rPr>
          <w:rFonts w:ascii="Arial" w:hAnsi="Arial" w:cs="Arial"/>
          <w:szCs w:val="20"/>
          <w:lang w:val="es-ES"/>
        </w:rPr>
      </w:pPr>
    </w:p>
    <w:p w14:paraId="6BA22272" w14:textId="1C6C0EEE" w:rsidR="0005095B" w:rsidRPr="00F40C85" w:rsidRDefault="00F40C85" w:rsidP="00F40C85">
      <w:pPr>
        <w:rPr>
          <w:rFonts w:ascii="Arial" w:hAnsi="Arial" w:cs="Arial"/>
          <w:szCs w:val="20"/>
        </w:rPr>
      </w:pPr>
      <w:r>
        <w:rPr>
          <w:rFonts w:ascii="Arial" w:hAnsi="Arial"/>
          <w:szCs w:val="20"/>
        </w:rPr>
        <w:t>3 novembre 2020</w:t>
      </w:r>
    </w:p>
    <w:p w14:paraId="0711B79E" w14:textId="77777777" w:rsidR="00D3528D" w:rsidRPr="00F40C85" w:rsidRDefault="00D3528D" w:rsidP="005C4F48">
      <w:pPr>
        <w:pStyle w:val="p1"/>
        <w:spacing w:line="360" w:lineRule="auto"/>
        <w:rPr>
          <w:b/>
          <w:sz w:val="24"/>
          <w:szCs w:val="24"/>
        </w:rPr>
      </w:pPr>
    </w:p>
    <w:p w14:paraId="1C88F1A0" w14:textId="3D2A057E" w:rsidR="00FD0AF9" w:rsidRPr="00F40C85" w:rsidRDefault="00FD0AF9" w:rsidP="00FD0AF9">
      <w:pPr>
        <w:pStyle w:val="p1"/>
        <w:spacing w:line="360" w:lineRule="auto"/>
        <w:jc w:val="center"/>
        <w:rPr>
          <w:b/>
          <w:bCs/>
          <w:sz w:val="24"/>
          <w:szCs w:val="24"/>
        </w:rPr>
      </w:pPr>
      <w:proofErr w:type="spellStart"/>
      <w:r>
        <w:rPr>
          <w:b/>
          <w:bCs/>
          <w:sz w:val="24"/>
          <w:szCs w:val="24"/>
        </w:rPr>
        <w:t>Lorytex</w:t>
      </w:r>
      <w:proofErr w:type="spellEnd"/>
      <w:r>
        <w:rPr>
          <w:b/>
          <w:bCs/>
          <w:sz w:val="24"/>
          <w:szCs w:val="24"/>
        </w:rPr>
        <w:t xml:space="preserve"> remporte un premier prix de l’emballage avec la </w:t>
      </w:r>
      <w:proofErr w:type="spellStart"/>
      <w:r>
        <w:rPr>
          <w:b/>
          <w:bCs/>
          <w:sz w:val="24"/>
          <w:szCs w:val="24"/>
        </w:rPr>
        <w:t>flexo</w:t>
      </w:r>
      <w:proofErr w:type="spellEnd"/>
      <w:r>
        <w:rPr>
          <w:b/>
          <w:bCs/>
          <w:sz w:val="24"/>
          <w:szCs w:val="24"/>
        </w:rPr>
        <w:t xml:space="preserve"> et l’ECG</w:t>
      </w:r>
    </w:p>
    <w:p w14:paraId="4CAA5679" w14:textId="77777777" w:rsidR="00FD0AF9" w:rsidRPr="00F40C85" w:rsidRDefault="00FD0AF9" w:rsidP="00FD0AF9">
      <w:pPr>
        <w:pStyle w:val="p1"/>
        <w:spacing w:line="360" w:lineRule="auto"/>
        <w:rPr>
          <w:b/>
          <w:bCs/>
          <w:sz w:val="24"/>
          <w:szCs w:val="24"/>
        </w:rPr>
      </w:pPr>
    </w:p>
    <w:p w14:paraId="3DC44782"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 Nous essayons simplement d’améliorer un peu la </w:t>
      </w:r>
      <w:proofErr w:type="spellStart"/>
      <w:r>
        <w:rPr>
          <w:rFonts w:ascii="Arial" w:hAnsi="Arial"/>
          <w:sz w:val="22"/>
          <w:szCs w:val="22"/>
        </w:rPr>
        <w:t>flexo</w:t>
      </w:r>
      <w:proofErr w:type="spellEnd"/>
      <w:r>
        <w:rPr>
          <w:rFonts w:ascii="Arial" w:hAnsi="Arial"/>
          <w:sz w:val="22"/>
          <w:szCs w:val="22"/>
        </w:rPr>
        <w:t xml:space="preserve"> chaque jour », affirme Roberto </w:t>
      </w:r>
      <w:proofErr w:type="spellStart"/>
      <w:r>
        <w:rPr>
          <w:rFonts w:ascii="Arial" w:hAnsi="Arial"/>
          <w:sz w:val="22"/>
          <w:szCs w:val="22"/>
        </w:rPr>
        <w:t>Dolinsky</w:t>
      </w:r>
      <w:proofErr w:type="spellEnd"/>
      <w:r>
        <w:rPr>
          <w:rFonts w:ascii="Arial" w:hAnsi="Arial"/>
          <w:sz w:val="22"/>
          <w:szCs w:val="22"/>
        </w:rPr>
        <w:t xml:space="preserve">, directeur général de </w:t>
      </w:r>
      <w:proofErr w:type="spellStart"/>
      <w:r>
        <w:rPr>
          <w:rFonts w:ascii="Arial" w:hAnsi="Arial"/>
          <w:sz w:val="22"/>
          <w:szCs w:val="22"/>
        </w:rPr>
        <w:t>Lorytex</w:t>
      </w:r>
      <w:proofErr w:type="spellEnd"/>
      <w:r>
        <w:rPr>
          <w:rFonts w:ascii="Arial" w:hAnsi="Arial"/>
          <w:sz w:val="22"/>
          <w:szCs w:val="22"/>
        </w:rPr>
        <w:t xml:space="preserve">. Si le commentaire est modeste, sa fierté ne fait aucun doute : l’entreprise vient de remporter un premier prix aux Kodak Global </w:t>
      </w:r>
      <w:proofErr w:type="spellStart"/>
      <w:r>
        <w:rPr>
          <w:rFonts w:ascii="Arial" w:hAnsi="Arial"/>
          <w:sz w:val="22"/>
          <w:szCs w:val="22"/>
        </w:rPr>
        <w:t>Flexo</w:t>
      </w:r>
      <w:proofErr w:type="spellEnd"/>
      <w:r>
        <w:rPr>
          <w:rFonts w:ascii="Arial" w:hAnsi="Arial"/>
          <w:sz w:val="22"/>
          <w:szCs w:val="22"/>
        </w:rPr>
        <w:t xml:space="preserve"> Innovation Awards inauguraux. </w:t>
      </w:r>
      <w:proofErr w:type="spellStart"/>
      <w:r>
        <w:rPr>
          <w:rFonts w:ascii="Arial" w:hAnsi="Arial"/>
          <w:sz w:val="22"/>
          <w:szCs w:val="22"/>
        </w:rPr>
        <w:t>Lorytex</w:t>
      </w:r>
      <w:proofErr w:type="spellEnd"/>
      <w:r>
        <w:rPr>
          <w:rFonts w:ascii="Arial" w:hAnsi="Arial"/>
          <w:sz w:val="22"/>
          <w:szCs w:val="22"/>
        </w:rPr>
        <w:t xml:space="preserve"> compte également parmi les lauréats récompensés par les plus hautes distinctions, reconnus pour leur créativité dans la conception graphique, l’efficacité de leur flux de production et leur engagement pour une impression durable.</w:t>
      </w:r>
    </w:p>
    <w:p w14:paraId="2DF8211E" w14:textId="77777777" w:rsidR="00FD0AF9" w:rsidRPr="00F40C85" w:rsidRDefault="00FD0AF9" w:rsidP="00FD0AF9">
      <w:pPr>
        <w:spacing w:line="360" w:lineRule="auto"/>
        <w:rPr>
          <w:rFonts w:ascii="Arial" w:hAnsi="Arial" w:cs="Arial"/>
          <w:sz w:val="22"/>
          <w:szCs w:val="22"/>
        </w:rPr>
      </w:pPr>
    </w:p>
    <w:p w14:paraId="231B3C0A" w14:textId="77777777" w:rsidR="00FD0AF9" w:rsidRPr="00F40C85" w:rsidRDefault="00FD0AF9" w:rsidP="00FD0AF9">
      <w:pPr>
        <w:spacing w:line="360" w:lineRule="auto"/>
        <w:rPr>
          <w:rFonts w:ascii="Arial" w:hAnsi="Arial" w:cs="Arial"/>
          <w:sz w:val="22"/>
          <w:szCs w:val="22"/>
        </w:rPr>
      </w:pPr>
      <w:r>
        <w:rPr>
          <w:rFonts w:ascii="Arial" w:hAnsi="Arial"/>
          <w:sz w:val="22"/>
          <w:szCs w:val="22"/>
        </w:rPr>
        <w:t>L’accomplissement est d’autant plus remarquable que l’entreprise est relativement petite, employant seulement neuf personnes sur son site à Montevideo. Avec une population de 3,5 millions d’habitants, le marché uruguayen est lui aussi assez restreint, ce qu’il compense amplement par sa compétitivité, selon M. </w:t>
      </w:r>
      <w:proofErr w:type="spellStart"/>
      <w:r>
        <w:rPr>
          <w:rFonts w:ascii="Arial" w:hAnsi="Arial"/>
          <w:sz w:val="22"/>
          <w:szCs w:val="22"/>
        </w:rPr>
        <w:t>Dolinsky</w:t>
      </w:r>
      <w:proofErr w:type="spellEnd"/>
      <w:r>
        <w:rPr>
          <w:rFonts w:ascii="Arial" w:hAnsi="Arial"/>
          <w:sz w:val="22"/>
          <w:szCs w:val="22"/>
        </w:rPr>
        <w:t xml:space="preserve">. « Comme sur tout autre marché </w:t>
      </w:r>
      <w:proofErr w:type="gramStart"/>
      <w:r>
        <w:rPr>
          <w:rFonts w:ascii="Arial" w:hAnsi="Arial"/>
          <w:sz w:val="22"/>
          <w:szCs w:val="22"/>
        </w:rPr>
        <w:t>du prépresse</w:t>
      </w:r>
      <w:proofErr w:type="gramEnd"/>
      <w:r>
        <w:rPr>
          <w:rFonts w:ascii="Arial" w:hAnsi="Arial"/>
          <w:sz w:val="22"/>
          <w:szCs w:val="22"/>
        </w:rPr>
        <w:t> : vous devez proposer quelque chose de différent, qui vous distingue de la concurrence. »</w:t>
      </w:r>
    </w:p>
    <w:p w14:paraId="66DB11B0" w14:textId="77777777" w:rsidR="00FD0AF9" w:rsidRPr="00F40C85" w:rsidRDefault="00FD0AF9" w:rsidP="00FD0AF9">
      <w:pPr>
        <w:spacing w:line="360" w:lineRule="auto"/>
        <w:rPr>
          <w:rFonts w:ascii="Arial" w:hAnsi="Arial" w:cs="Arial"/>
          <w:sz w:val="22"/>
          <w:szCs w:val="22"/>
        </w:rPr>
      </w:pPr>
    </w:p>
    <w:p w14:paraId="7D4286C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Dans le cas de </w:t>
      </w:r>
      <w:proofErr w:type="spellStart"/>
      <w:r>
        <w:rPr>
          <w:rFonts w:ascii="Arial" w:hAnsi="Arial"/>
          <w:sz w:val="22"/>
          <w:szCs w:val="22"/>
        </w:rPr>
        <w:t>Lorytex</w:t>
      </w:r>
      <w:proofErr w:type="spellEnd"/>
      <w:r>
        <w:rPr>
          <w:rFonts w:ascii="Arial" w:hAnsi="Arial"/>
          <w:sz w:val="22"/>
          <w:szCs w:val="22"/>
        </w:rPr>
        <w:t>, cette valeur ajoutée repose sur leur expertise de l’impression d’une gamme chromatique étendue (ECG). Grâce à l’ECG, l’entreprise peut répondre aux tendances et aux défis du marché actuel de l’emballage, où selon les termes de M. </w:t>
      </w:r>
      <w:proofErr w:type="spellStart"/>
      <w:r>
        <w:rPr>
          <w:rFonts w:ascii="Arial" w:hAnsi="Arial"/>
          <w:sz w:val="22"/>
          <w:szCs w:val="22"/>
        </w:rPr>
        <w:t>Dolinsky</w:t>
      </w:r>
      <w:proofErr w:type="spellEnd"/>
      <w:r>
        <w:rPr>
          <w:rFonts w:ascii="Arial" w:hAnsi="Arial"/>
          <w:sz w:val="22"/>
          <w:szCs w:val="22"/>
        </w:rPr>
        <w:t xml:space="preserve">, « l’évolution technologique constante » est une condition incontournable. Ce n’est pas nouveau, bien sûr. Tout comme les tirages de plus en plus courts, ou les délais de livraison toujours plus serrés. « Notre stratégie consiste à optimiser et à automatiser la production, et pour cela, l’ECG est </w:t>
      </w:r>
      <w:proofErr w:type="gramStart"/>
      <w:r>
        <w:rPr>
          <w:rFonts w:ascii="Arial" w:hAnsi="Arial"/>
          <w:sz w:val="22"/>
          <w:szCs w:val="22"/>
        </w:rPr>
        <w:t>parfaite</w:t>
      </w:r>
      <w:proofErr w:type="gramEnd"/>
      <w:r>
        <w:rPr>
          <w:rFonts w:ascii="Arial" w:hAnsi="Arial"/>
          <w:sz w:val="22"/>
          <w:szCs w:val="22"/>
        </w:rPr>
        <w:t>. Elle nous permet de proposer quelque chose de vraiment différent aux transformateurs : une productivité supérieure, la gestion économique des courts tirages, ainsi que la possibilité de combiner les travaux ».</w:t>
      </w:r>
    </w:p>
    <w:p w14:paraId="7C391ABD" w14:textId="77777777" w:rsidR="00FD0AF9" w:rsidRPr="00F40C85" w:rsidRDefault="00FD0AF9" w:rsidP="00FD0AF9">
      <w:pPr>
        <w:spacing w:line="360" w:lineRule="auto"/>
        <w:rPr>
          <w:rFonts w:ascii="Arial" w:hAnsi="Arial" w:cs="Arial"/>
          <w:sz w:val="22"/>
          <w:szCs w:val="22"/>
        </w:rPr>
      </w:pPr>
    </w:p>
    <w:p w14:paraId="35C3C982"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Des délais d’exécution 30 % plus rapides</w:t>
      </w:r>
    </w:p>
    <w:p w14:paraId="33165C0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La contribution primée, produite pour leur client d’emballage souple </w:t>
      </w:r>
      <w:proofErr w:type="spellStart"/>
      <w:r>
        <w:rPr>
          <w:rFonts w:ascii="Arial" w:hAnsi="Arial"/>
          <w:sz w:val="22"/>
          <w:szCs w:val="22"/>
        </w:rPr>
        <w:t>Ecoflex</w:t>
      </w:r>
      <w:proofErr w:type="spellEnd"/>
      <w:r>
        <w:rPr>
          <w:rFonts w:ascii="Arial" w:hAnsi="Arial"/>
          <w:sz w:val="22"/>
          <w:szCs w:val="22"/>
        </w:rPr>
        <w:t xml:space="preserve"> SA, a démontré de façon éclatante les possibilités de l’ECG : des délais d’exécution 30 % </w:t>
      </w:r>
      <w:r>
        <w:rPr>
          <w:rFonts w:ascii="Arial" w:hAnsi="Arial"/>
          <w:sz w:val="22"/>
          <w:szCs w:val="22"/>
        </w:rPr>
        <w:lastRenderedPageBreak/>
        <w:t>plus rapides, des économies importantes sur la consommation d’encre, une qualité d’image satisfaisante pour les marques et un impact visuel global, tout cela sur la presse d’</w:t>
      </w:r>
      <w:proofErr w:type="spellStart"/>
      <w:r>
        <w:rPr>
          <w:rFonts w:ascii="Arial" w:hAnsi="Arial"/>
          <w:sz w:val="22"/>
          <w:szCs w:val="22"/>
        </w:rPr>
        <w:t>Ecoflex</w:t>
      </w:r>
      <w:proofErr w:type="spellEnd"/>
      <w:r>
        <w:rPr>
          <w:rFonts w:ascii="Arial" w:hAnsi="Arial"/>
          <w:sz w:val="22"/>
          <w:szCs w:val="22"/>
        </w:rPr>
        <w:t>.</w:t>
      </w:r>
    </w:p>
    <w:p w14:paraId="7BD4CC7B" w14:textId="77777777" w:rsidR="00FD0AF9" w:rsidRPr="00F40C85" w:rsidRDefault="00FD0AF9" w:rsidP="00FD0AF9">
      <w:pPr>
        <w:spacing w:line="360" w:lineRule="auto"/>
        <w:rPr>
          <w:rFonts w:ascii="Arial" w:hAnsi="Arial" w:cs="Arial"/>
          <w:sz w:val="22"/>
          <w:szCs w:val="22"/>
        </w:rPr>
      </w:pPr>
    </w:p>
    <w:p w14:paraId="2DB59261" w14:textId="77777777" w:rsidR="00FD0AF9" w:rsidRPr="00F40C85" w:rsidRDefault="00FD0AF9" w:rsidP="00FD0AF9">
      <w:pPr>
        <w:spacing w:line="360" w:lineRule="auto"/>
        <w:rPr>
          <w:rFonts w:ascii="Arial" w:hAnsi="Arial" w:cs="Arial"/>
          <w:sz w:val="22"/>
          <w:szCs w:val="22"/>
        </w:rPr>
      </w:pPr>
      <w:proofErr w:type="spellStart"/>
      <w:r>
        <w:rPr>
          <w:rFonts w:ascii="Arial" w:hAnsi="Arial"/>
          <w:sz w:val="22"/>
          <w:szCs w:val="22"/>
        </w:rPr>
        <w:t>Lorytex</w:t>
      </w:r>
      <w:proofErr w:type="spellEnd"/>
      <w:r>
        <w:rPr>
          <w:rFonts w:ascii="Arial" w:hAnsi="Arial"/>
          <w:sz w:val="22"/>
          <w:szCs w:val="22"/>
        </w:rPr>
        <w:t xml:space="preserve"> et </w:t>
      </w:r>
      <w:proofErr w:type="spellStart"/>
      <w:r>
        <w:rPr>
          <w:rFonts w:ascii="Arial" w:hAnsi="Arial"/>
          <w:sz w:val="22"/>
          <w:szCs w:val="22"/>
        </w:rPr>
        <w:t>Ecoflex</w:t>
      </w:r>
      <w:proofErr w:type="spellEnd"/>
      <w:r>
        <w:rPr>
          <w:rFonts w:ascii="Arial" w:hAnsi="Arial"/>
          <w:sz w:val="22"/>
          <w:szCs w:val="22"/>
        </w:rPr>
        <w:t xml:space="preserve"> collaborent depuis 2011 et, ajoute M. </w:t>
      </w:r>
      <w:proofErr w:type="spellStart"/>
      <w:r>
        <w:rPr>
          <w:rFonts w:ascii="Arial" w:hAnsi="Arial"/>
          <w:sz w:val="22"/>
          <w:szCs w:val="22"/>
        </w:rPr>
        <w:t>Dolinsky</w:t>
      </w:r>
      <w:proofErr w:type="spellEnd"/>
      <w:r>
        <w:rPr>
          <w:rFonts w:ascii="Arial" w:hAnsi="Arial"/>
          <w:sz w:val="22"/>
          <w:szCs w:val="22"/>
        </w:rPr>
        <w:t>, « partagent des objectifs très proches ». Leur proximité est devenue évidente dans le contexte du projet ECG, qui a vu le jour alors qu’</w:t>
      </w:r>
      <w:proofErr w:type="spellStart"/>
      <w:r>
        <w:rPr>
          <w:rFonts w:ascii="Arial" w:hAnsi="Arial"/>
          <w:sz w:val="22"/>
          <w:szCs w:val="22"/>
        </w:rPr>
        <w:t>Ecoflex</w:t>
      </w:r>
      <w:proofErr w:type="spellEnd"/>
      <w:r>
        <w:rPr>
          <w:rFonts w:ascii="Arial" w:hAnsi="Arial"/>
          <w:sz w:val="22"/>
          <w:szCs w:val="22"/>
        </w:rPr>
        <w:t xml:space="preserve"> cherchait également à se différencier de ses concurrents ; dans son cas, par une meilleure efficacité, des livraisons plus rapides et une véritable innovation.</w:t>
      </w:r>
    </w:p>
    <w:p w14:paraId="29BD6B48" w14:textId="77777777" w:rsidR="00FD0AF9" w:rsidRPr="00F40C85" w:rsidRDefault="00FD0AF9" w:rsidP="00FD0AF9">
      <w:pPr>
        <w:spacing w:line="360" w:lineRule="auto"/>
        <w:rPr>
          <w:rFonts w:ascii="Arial" w:hAnsi="Arial" w:cs="Arial"/>
          <w:sz w:val="22"/>
          <w:szCs w:val="22"/>
        </w:rPr>
      </w:pPr>
    </w:p>
    <w:p w14:paraId="62C96D0A" w14:textId="36479D25" w:rsidR="00FD0AF9" w:rsidRPr="00F40C85" w:rsidRDefault="00FD0AF9" w:rsidP="00FD0AF9">
      <w:pPr>
        <w:spacing w:line="360" w:lineRule="auto"/>
        <w:rPr>
          <w:rFonts w:ascii="Arial" w:hAnsi="Arial" w:cs="Arial"/>
          <w:sz w:val="22"/>
          <w:szCs w:val="22"/>
        </w:rPr>
      </w:pPr>
      <w:r>
        <w:rPr>
          <w:rFonts w:ascii="Arial" w:hAnsi="Arial"/>
          <w:sz w:val="22"/>
          <w:szCs w:val="22"/>
        </w:rPr>
        <w:t xml:space="preserve">Pour </w:t>
      </w:r>
      <w:proofErr w:type="spellStart"/>
      <w:r>
        <w:rPr>
          <w:rFonts w:ascii="Arial" w:hAnsi="Arial"/>
          <w:sz w:val="22"/>
          <w:szCs w:val="22"/>
        </w:rPr>
        <w:t>Lorytex</w:t>
      </w:r>
      <w:proofErr w:type="spellEnd"/>
      <w:r>
        <w:rPr>
          <w:rFonts w:ascii="Arial" w:hAnsi="Arial"/>
          <w:sz w:val="22"/>
          <w:szCs w:val="22"/>
        </w:rPr>
        <w:t>, la décision a marqué le début d’un programme de deux ans visant à évaluer le potentiel de l’ECG et, le cas échéant, à mettre en œuvre la technologie. « Nous avons beaucoup investi dans l’ECG », rappelle M. </w:t>
      </w:r>
      <w:proofErr w:type="spellStart"/>
      <w:r>
        <w:rPr>
          <w:rFonts w:ascii="Arial" w:hAnsi="Arial"/>
          <w:sz w:val="22"/>
          <w:szCs w:val="22"/>
        </w:rPr>
        <w:t>Dolinsky</w:t>
      </w:r>
      <w:proofErr w:type="spellEnd"/>
      <w:r>
        <w:rPr>
          <w:rFonts w:ascii="Arial" w:hAnsi="Arial"/>
          <w:sz w:val="22"/>
          <w:szCs w:val="22"/>
        </w:rPr>
        <w:t>. «</w:t>
      </w:r>
      <w:r w:rsidR="0048015F">
        <w:rPr>
          <w:rFonts w:ascii="Arial" w:hAnsi="Arial"/>
          <w:sz w:val="22"/>
          <w:szCs w:val="22"/>
        </w:rPr>
        <w:t> </w:t>
      </w:r>
      <w:r>
        <w:rPr>
          <w:rFonts w:ascii="Arial" w:hAnsi="Arial"/>
          <w:sz w:val="22"/>
          <w:szCs w:val="22"/>
        </w:rPr>
        <w:t>La mise en œuvre concrète du programme a nécessité un énorme apprentissage et beaucoup de voyages de formation à l’étranger. Nous devions nous assurer de faire les choses correctement. »</w:t>
      </w:r>
    </w:p>
    <w:p w14:paraId="64690833" w14:textId="77777777" w:rsidR="00FD0AF9" w:rsidRPr="00F40C85" w:rsidRDefault="00FD0AF9" w:rsidP="00FD0AF9">
      <w:pPr>
        <w:spacing w:line="360" w:lineRule="auto"/>
        <w:rPr>
          <w:rFonts w:ascii="Arial" w:hAnsi="Arial" w:cs="Arial"/>
          <w:sz w:val="22"/>
          <w:szCs w:val="22"/>
        </w:rPr>
      </w:pPr>
    </w:p>
    <w:p w14:paraId="2C6C7820"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Tout comme </w:t>
      </w:r>
      <w:proofErr w:type="spellStart"/>
      <w:r>
        <w:rPr>
          <w:rFonts w:ascii="Arial" w:hAnsi="Arial"/>
          <w:sz w:val="22"/>
          <w:szCs w:val="22"/>
        </w:rPr>
        <w:t>Ecoflex</w:t>
      </w:r>
      <w:proofErr w:type="spellEnd"/>
      <w:r>
        <w:rPr>
          <w:rFonts w:ascii="Arial" w:hAnsi="Arial"/>
          <w:sz w:val="22"/>
          <w:szCs w:val="22"/>
        </w:rPr>
        <w:t xml:space="preserve">, </w:t>
      </w:r>
      <w:proofErr w:type="spellStart"/>
      <w:r>
        <w:rPr>
          <w:rFonts w:ascii="Arial" w:hAnsi="Arial"/>
          <w:sz w:val="22"/>
          <w:szCs w:val="22"/>
        </w:rPr>
        <w:t>Lorytex</w:t>
      </w:r>
      <w:proofErr w:type="spellEnd"/>
      <w:r>
        <w:rPr>
          <w:rFonts w:ascii="Arial" w:hAnsi="Arial"/>
          <w:sz w:val="22"/>
          <w:szCs w:val="22"/>
        </w:rPr>
        <w:t xml:space="preserve"> a une relation étroite avec d’autres transformateurs en Uruguay qui évaluent actuellement l’utilisation de la technologie ECG pour ses améliorations et ses économies avérées.</w:t>
      </w:r>
    </w:p>
    <w:p w14:paraId="5849372B" w14:textId="77777777" w:rsidR="00FD0AF9" w:rsidRPr="00F40C85" w:rsidRDefault="00FD0AF9" w:rsidP="00FD0AF9">
      <w:pPr>
        <w:spacing w:line="360" w:lineRule="auto"/>
        <w:rPr>
          <w:rFonts w:ascii="Arial" w:hAnsi="Arial" w:cs="Arial"/>
          <w:sz w:val="22"/>
          <w:szCs w:val="22"/>
        </w:rPr>
      </w:pPr>
    </w:p>
    <w:p w14:paraId="0BD65AC5"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Efficacité, automatisation et fiabilité</w:t>
      </w:r>
    </w:p>
    <w:p w14:paraId="3964EB7E" w14:textId="05C8E9AA" w:rsidR="00FD0AF9" w:rsidRPr="00F40C85" w:rsidRDefault="00FD0AF9" w:rsidP="00FD0AF9">
      <w:pPr>
        <w:spacing w:line="360" w:lineRule="auto"/>
        <w:rPr>
          <w:rFonts w:ascii="Arial" w:hAnsi="Arial" w:cs="Arial"/>
          <w:sz w:val="22"/>
          <w:szCs w:val="22"/>
        </w:rPr>
      </w:pPr>
      <w:r>
        <w:rPr>
          <w:rFonts w:ascii="Arial" w:hAnsi="Arial"/>
          <w:sz w:val="22"/>
          <w:szCs w:val="22"/>
        </w:rPr>
        <w:t xml:space="preserve">« Cela impliquait de disposer de tous les composants pour une configuration la plus efficace, automatisée et fiable possible, y compris une gestion des couleurs de haute qualité et, bien entendu, la technologie de plaque adaptée. De fait, investir dans la </w:t>
      </w:r>
      <w:proofErr w:type="gramStart"/>
      <w:r>
        <w:rPr>
          <w:rFonts w:ascii="Arial" w:hAnsi="Arial"/>
          <w:sz w:val="22"/>
          <w:szCs w:val="22"/>
        </w:rPr>
        <w:t>solution</w:t>
      </w:r>
      <w:proofErr w:type="gramEnd"/>
      <w:r>
        <w:rPr>
          <w:rFonts w:ascii="Arial" w:hAnsi="Arial"/>
          <w:sz w:val="22"/>
          <w:szCs w:val="22"/>
        </w:rPr>
        <w:t xml:space="preserve"> Kodak </w:t>
      </w:r>
      <w:proofErr w:type="spellStart"/>
      <w:r>
        <w:rPr>
          <w:rFonts w:ascii="Arial" w:hAnsi="Arial"/>
          <w:sz w:val="22"/>
          <w:szCs w:val="22"/>
        </w:rPr>
        <w:t>Flexcel</w:t>
      </w:r>
      <w:proofErr w:type="spellEnd"/>
      <w:r>
        <w:rPr>
          <w:rFonts w:ascii="Arial" w:hAnsi="Arial"/>
          <w:sz w:val="22"/>
          <w:szCs w:val="22"/>
        </w:rPr>
        <w:t xml:space="preserve"> </w:t>
      </w:r>
      <w:proofErr w:type="spellStart"/>
      <w:r>
        <w:rPr>
          <w:rFonts w:ascii="Arial" w:hAnsi="Arial"/>
          <w:sz w:val="22"/>
          <w:szCs w:val="22"/>
        </w:rPr>
        <w:t>NX</w:t>
      </w:r>
      <w:proofErr w:type="spellEnd"/>
      <w:r>
        <w:rPr>
          <w:rFonts w:ascii="Arial" w:hAnsi="Arial"/>
          <w:sz w:val="22"/>
          <w:szCs w:val="22"/>
        </w:rPr>
        <w:t xml:space="preserve"> a été notre toute première décision. </w:t>
      </w:r>
      <w:r w:rsidR="0048015F">
        <w:rPr>
          <w:rFonts w:ascii="Arial" w:hAnsi="Arial"/>
          <w:sz w:val="22"/>
          <w:szCs w:val="22"/>
        </w:rPr>
        <w:t>Robuste</w:t>
      </w:r>
      <w:r>
        <w:rPr>
          <w:rFonts w:ascii="Arial" w:hAnsi="Arial"/>
          <w:sz w:val="22"/>
          <w:szCs w:val="22"/>
        </w:rPr>
        <w:t xml:space="preserve"> et rapide, elle nous assure une base éprouvée sur laquelle appuyer les autres technologies.</w:t>
      </w:r>
    </w:p>
    <w:p w14:paraId="6FAB15E4" w14:textId="77777777" w:rsidR="00FD0AF9" w:rsidRPr="00F40C85" w:rsidRDefault="00FD0AF9" w:rsidP="00FD0AF9">
      <w:pPr>
        <w:spacing w:line="360" w:lineRule="auto"/>
        <w:rPr>
          <w:rFonts w:ascii="Arial" w:hAnsi="Arial" w:cs="Arial"/>
          <w:sz w:val="22"/>
          <w:szCs w:val="22"/>
        </w:rPr>
      </w:pPr>
    </w:p>
    <w:p w14:paraId="1173B2DC" w14:textId="7EC3C7FE" w:rsidR="00FD0AF9" w:rsidRPr="00F40C85" w:rsidRDefault="00FD0AF9" w:rsidP="00FD0AF9">
      <w:pPr>
        <w:spacing w:line="360" w:lineRule="auto"/>
        <w:rPr>
          <w:rFonts w:ascii="Arial" w:hAnsi="Arial" w:cs="Arial"/>
          <w:sz w:val="22"/>
          <w:szCs w:val="22"/>
        </w:rPr>
      </w:pPr>
      <w:r>
        <w:rPr>
          <w:rFonts w:ascii="Arial" w:hAnsi="Arial"/>
          <w:sz w:val="22"/>
          <w:szCs w:val="22"/>
        </w:rPr>
        <w:t xml:space="preserve">À la fin du processus, </w:t>
      </w:r>
      <w:proofErr w:type="spellStart"/>
      <w:r>
        <w:rPr>
          <w:rFonts w:ascii="Arial" w:hAnsi="Arial"/>
          <w:sz w:val="22"/>
          <w:szCs w:val="22"/>
        </w:rPr>
        <w:t>Lorytex</w:t>
      </w:r>
      <w:proofErr w:type="spellEnd"/>
      <w:r>
        <w:rPr>
          <w:rFonts w:ascii="Arial" w:hAnsi="Arial"/>
          <w:sz w:val="22"/>
          <w:szCs w:val="22"/>
        </w:rPr>
        <w:t xml:space="preserve"> a développé plusieurs tests d’optimisation, soutenus par une méthodologie détaillée, avant de passer à son déploiement pour le client, sur une période de deux mois. « Nous les avons convaincus que des facteurs tels que le repérage et les tons directs ne poseraient pas de problèmes. Leur engagement total envers le projet nous a beaucoup aidé</w:t>
      </w:r>
      <w:r w:rsidR="0048015F">
        <w:rPr>
          <w:rFonts w:ascii="Arial" w:hAnsi="Arial"/>
          <w:sz w:val="22"/>
          <w:szCs w:val="22"/>
        </w:rPr>
        <w:t>s</w:t>
      </w:r>
      <w:r>
        <w:rPr>
          <w:rFonts w:ascii="Arial" w:hAnsi="Arial"/>
          <w:sz w:val="22"/>
          <w:szCs w:val="22"/>
        </w:rPr>
        <w:t>. »</w:t>
      </w:r>
    </w:p>
    <w:p w14:paraId="1EA14C1C" w14:textId="77777777" w:rsidR="00FD0AF9" w:rsidRPr="00F40C85" w:rsidRDefault="00FD0AF9" w:rsidP="00FD0AF9">
      <w:pPr>
        <w:spacing w:line="360" w:lineRule="auto"/>
        <w:rPr>
          <w:rFonts w:ascii="Arial" w:hAnsi="Arial" w:cs="Arial"/>
          <w:sz w:val="22"/>
          <w:szCs w:val="22"/>
        </w:rPr>
      </w:pPr>
    </w:p>
    <w:p w14:paraId="2CF18BC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Cette façon de travailler est représentative de l’approche de l’entreprise, car la création de liens étroits avec les clients est au cœur de la culture de </w:t>
      </w:r>
      <w:proofErr w:type="spellStart"/>
      <w:r>
        <w:rPr>
          <w:rFonts w:ascii="Arial" w:hAnsi="Arial"/>
          <w:sz w:val="22"/>
          <w:szCs w:val="22"/>
        </w:rPr>
        <w:t>Lorytex</w:t>
      </w:r>
      <w:proofErr w:type="spellEnd"/>
      <w:r>
        <w:rPr>
          <w:rFonts w:ascii="Arial" w:hAnsi="Arial"/>
          <w:sz w:val="22"/>
          <w:szCs w:val="22"/>
        </w:rPr>
        <w:t>. « En ce sens, il est pratique que l’Uruguay soit un petit pays », souligne M. </w:t>
      </w:r>
      <w:proofErr w:type="spellStart"/>
      <w:r>
        <w:rPr>
          <w:rFonts w:ascii="Arial" w:hAnsi="Arial"/>
          <w:sz w:val="22"/>
          <w:szCs w:val="22"/>
        </w:rPr>
        <w:t>Dolinsky</w:t>
      </w:r>
      <w:proofErr w:type="spellEnd"/>
      <w:r>
        <w:rPr>
          <w:rFonts w:ascii="Arial" w:hAnsi="Arial"/>
          <w:sz w:val="22"/>
          <w:szCs w:val="22"/>
        </w:rPr>
        <w:t xml:space="preserve">. « Plus de la moitié de </w:t>
      </w:r>
      <w:r>
        <w:rPr>
          <w:rFonts w:ascii="Arial" w:hAnsi="Arial"/>
          <w:sz w:val="22"/>
          <w:szCs w:val="22"/>
        </w:rPr>
        <w:lastRenderedPageBreak/>
        <w:t xml:space="preserve">la population est installée à Montevideo et dans ses environs, nous évitons ainsi les longs déplacements pour rendre visite à nos clients et prospects ! Sur la plupart des projets, nous intervenons dès le début, au stade de la conception. Ceci est fondamental dans la </w:t>
      </w:r>
      <w:proofErr w:type="spellStart"/>
      <w:r>
        <w:rPr>
          <w:rFonts w:ascii="Arial" w:hAnsi="Arial"/>
          <w:sz w:val="22"/>
          <w:szCs w:val="22"/>
        </w:rPr>
        <w:t>flexo</w:t>
      </w:r>
      <w:proofErr w:type="spellEnd"/>
      <w:r>
        <w:rPr>
          <w:rFonts w:ascii="Arial" w:hAnsi="Arial"/>
          <w:sz w:val="22"/>
          <w:szCs w:val="22"/>
        </w:rPr>
        <w:t>, car le processus est nouveau pour les créatifs habitués à travailler en offset. Si nous comprenons ce que le designer et la marque veulent communiquer à travers l’emballage, nous pouvons exploiter notre maîtrise de la technologie pour obtenir les meilleurs résultats. Nous apprécions aussi de participer aux réunions de préproduction avec les transformateurs ; leurs enseignements sont riches, et ils nous aident à tout mettre en place avant la production. »</w:t>
      </w:r>
    </w:p>
    <w:p w14:paraId="498B9D84" w14:textId="77777777" w:rsidR="00FD0AF9" w:rsidRPr="00F40C85" w:rsidRDefault="00FD0AF9" w:rsidP="00FD0AF9">
      <w:pPr>
        <w:spacing w:line="360" w:lineRule="auto"/>
        <w:rPr>
          <w:rFonts w:ascii="Arial" w:hAnsi="Arial" w:cs="Arial"/>
          <w:sz w:val="22"/>
          <w:szCs w:val="22"/>
        </w:rPr>
      </w:pPr>
    </w:p>
    <w:p w14:paraId="0C26BD7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À la question du point de vue des marques et des transformateurs sur la </w:t>
      </w:r>
      <w:proofErr w:type="spellStart"/>
      <w:r>
        <w:rPr>
          <w:rFonts w:ascii="Arial" w:hAnsi="Arial"/>
          <w:sz w:val="22"/>
          <w:szCs w:val="22"/>
        </w:rPr>
        <w:t>flexo</w:t>
      </w:r>
      <w:proofErr w:type="spellEnd"/>
      <w:r>
        <w:rPr>
          <w:rFonts w:ascii="Arial" w:hAnsi="Arial"/>
          <w:sz w:val="22"/>
          <w:szCs w:val="22"/>
        </w:rPr>
        <w:t xml:space="preserve">, il affirme que les avantages sont de plus en plus connus, mais qu’il reste encore du chemin à parcourir. « L’ECG lui donnera une impulsion. Lorsque nous présentons l’efficacité du processus et la qualité des résultats, l’intérêt est réel. À tel point que je pense que jusqu’à 50 % des emballages pourraient être produits en </w:t>
      </w:r>
      <w:proofErr w:type="spellStart"/>
      <w:r>
        <w:rPr>
          <w:rFonts w:ascii="Arial" w:hAnsi="Arial"/>
          <w:sz w:val="22"/>
          <w:szCs w:val="22"/>
        </w:rPr>
        <w:t>flexo</w:t>
      </w:r>
      <w:proofErr w:type="spellEnd"/>
      <w:r>
        <w:rPr>
          <w:rFonts w:ascii="Arial" w:hAnsi="Arial"/>
          <w:sz w:val="22"/>
          <w:szCs w:val="22"/>
        </w:rPr>
        <w:t>, avec l’ECG. »</w:t>
      </w:r>
    </w:p>
    <w:p w14:paraId="7D048C87" w14:textId="77777777" w:rsidR="00FD0AF9" w:rsidRPr="00F40C85" w:rsidRDefault="00FD0AF9" w:rsidP="00D3528D">
      <w:pPr>
        <w:pStyle w:val="p1"/>
        <w:spacing w:line="360" w:lineRule="auto"/>
        <w:rPr>
          <w:b/>
          <w:bCs/>
          <w:sz w:val="24"/>
          <w:szCs w:val="24"/>
        </w:rPr>
      </w:pPr>
    </w:p>
    <w:p w14:paraId="272CE1BA" w14:textId="70EED2F9" w:rsidR="00D3528D" w:rsidRPr="00F40C85" w:rsidRDefault="00D3528D" w:rsidP="00F40C85">
      <w:pPr>
        <w:pStyle w:val="p1"/>
        <w:spacing w:line="360" w:lineRule="auto"/>
        <w:jc w:val="center"/>
        <w:rPr>
          <w:sz w:val="22"/>
          <w:szCs w:val="22"/>
        </w:rPr>
      </w:pPr>
      <w:r>
        <w:rPr>
          <w:sz w:val="22"/>
          <w:szCs w:val="22"/>
        </w:rPr>
        <w:t>FIN</w:t>
      </w:r>
    </w:p>
    <w:p w14:paraId="04B91E36" w14:textId="77777777" w:rsidR="00F40C85" w:rsidRPr="0048015F" w:rsidRDefault="00F40C85" w:rsidP="0005095B">
      <w:pPr>
        <w:tabs>
          <w:tab w:val="left" w:pos="360"/>
          <w:tab w:val="right" w:pos="9360"/>
        </w:tabs>
        <w:textAlignment w:val="baseline"/>
        <w:rPr>
          <w:rFonts w:ascii="Arial" w:hAnsi="Arial" w:cs="Arial"/>
          <w:b/>
          <w:bCs/>
          <w:szCs w:val="20"/>
        </w:rPr>
      </w:pPr>
    </w:p>
    <w:p w14:paraId="47EC828B" w14:textId="77777777" w:rsidR="00F40C85" w:rsidRPr="00054669" w:rsidRDefault="00F40C85" w:rsidP="00F40C85">
      <w:pPr>
        <w:tabs>
          <w:tab w:val="left" w:pos="360"/>
          <w:tab w:val="right" w:pos="9360"/>
        </w:tabs>
        <w:textAlignment w:val="baseline"/>
        <w:rPr>
          <w:rFonts w:ascii="Arial" w:hAnsi="Arial" w:cs="Arial"/>
          <w:b/>
          <w:bCs/>
          <w:szCs w:val="20"/>
        </w:rPr>
      </w:pPr>
      <w:r>
        <w:rPr>
          <w:rFonts w:ascii="Arial" w:hAnsi="Arial"/>
          <w:b/>
          <w:bCs/>
          <w:szCs w:val="20"/>
        </w:rPr>
        <w:t xml:space="preserve">À propos de </w:t>
      </w:r>
      <w:proofErr w:type="spellStart"/>
      <w:r>
        <w:rPr>
          <w:rFonts w:ascii="Arial" w:hAnsi="Arial"/>
          <w:b/>
          <w:bCs/>
          <w:szCs w:val="20"/>
        </w:rPr>
        <w:t>Miraclon</w:t>
      </w:r>
      <w:proofErr w:type="spellEnd"/>
    </w:p>
    <w:p w14:paraId="5758E8A2" w14:textId="77777777" w:rsidR="00F40C85" w:rsidRPr="00054669" w:rsidRDefault="00F40C85" w:rsidP="00F40C85">
      <w:pPr>
        <w:rPr>
          <w:rFonts w:ascii="Arial" w:hAnsi="Arial" w:cs="Arial"/>
          <w:szCs w:val="20"/>
        </w:rPr>
      </w:pPr>
      <w:r>
        <w:rPr>
          <w:rFonts w:ascii="Arial" w:hAnsi="Arial"/>
          <w:szCs w:val="20"/>
        </w:rPr>
        <w:t xml:space="preserve">Les KODAK </w:t>
      </w:r>
      <w:proofErr w:type="spellStart"/>
      <w:r>
        <w:rPr>
          <w:rFonts w:ascii="Arial" w:hAnsi="Arial"/>
          <w:szCs w:val="20"/>
        </w:rPr>
        <w:t>FLEXCEL</w:t>
      </w:r>
      <w:proofErr w:type="spellEnd"/>
      <w:r>
        <w:rPr>
          <w:rFonts w:ascii="Arial" w:hAnsi="Arial"/>
          <w:szCs w:val="20"/>
        </w:rPr>
        <w:t xml:space="preserve"> Solutions ont permis de transformer l’impression </w:t>
      </w:r>
      <w:proofErr w:type="spellStart"/>
      <w:r>
        <w:rPr>
          <w:rFonts w:ascii="Arial" w:hAnsi="Arial"/>
          <w:szCs w:val="20"/>
        </w:rPr>
        <w:t>flexographique</w:t>
      </w:r>
      <w:proofErr w:type="spellEnd"/>
      <w:r>
        <w:rPr>
          <w:rFonts w:ascii="Arial" w:hAnsi="Arial"/>
          <w:szCs w:val="20"/>
        </w:rPr>
        <w:t xml:space="preserve"> au cours de la dernière décennie. Créées par </w:t>
      </w:r>
      <w:proofErr w:type="spellStart"/>
      <w:r>
        <w:rPr>
          <w:rFonts w:ascii="Arial" w:hAnsi="Arial"/>
          <w:szCs w:val="20"/>
        </w:rPr>
        <w:t>Miraclon</w:t>
      </w:r>
      <w:proofErr w:type="spellEnd"/>
      <w:r>
        <w:rPr>
          <w:rFonts w:ascii="Arial" w:hAnsi="Arial"/>
          <w:szCs w:val="20"/>
        </w:rPr>
        <w:t xml:space="preserve">, les KODAK </w:t>
      </w:r>
      <w:proofErr w:type="spellStart"/>
      <w:r>
        <w:rPr>
          <w:rFonts w:ascii="Arial" w:hAnsi="Arial"/>
          <w:szCs w:val="20"/>
        </w:rPr>
        <w:t>FLEXCEL</w:t>
      </w:r>
      <w:proofErr w:type="spellEnd"/>
      <w:r>
        <w:rPr>
          <w:rFonts w:ascii="Arial" w:hAnsi="Arial"/>
          <w:szCs w:val="20"/>
        </w:rPr>
        <w:t xml:space="preserve"> Solutions – y compris les systèmes </w:t>
      </w:r>
      <w:proofErr w:type="spellStart"/>
      <w:r>
        <w:rPr>
          <w:rFonts w:ascii="Arial" w:hAnsi="Arial"/>
          <w:szCs w:val="20"/>
        </w:rPr>
        <w:t>FLEXCEL</w:t>
      </w:r>
      <w:proofErr w:type="spellEnd"/>
      <w:r>
        <w:rPr>
          <w:rFonts w:ascii="Arial" w:hAnsi="Arial"/>
          <w:szCs w:val="20"/>
        </w:rPr>
        <w:t xml:space="preserve"> </w:t>
      </w:r>
      <w:proofErr w:type="spellStart"/>
      <w:r>
        <w:rPr>
          <w:rFonts w:ascii="Arial" w:hAnsi="Arial"/>
          <w:szCs w:val="20"/>
        </w:rPr>
        <w:t>NX</w:t>
      </w:r>
      <w:proofErr w:type="spellEnd"/>
      <w:r>
        <w:rPr>
          <w:rFonts w:ascii="Arial" w:hAnsi="Arial"/>
          <w:szCs w:val="20"/>
        </w:rPr>
        <w:t xml:space="preserve"> et </w:t>
      </w:r>
      <w:proofErr w:type="spellStart"/>
      <w:r>
        <w:rPr>
          <w:rFonts w:ascii="Arial" w:hAnsi="Arial"/>
          <w:szCs w:val="20"/>
        </w:rPr>
        <w:t>FLEXCEL</w:t>
      </w:r>
      <w:proofErr w:type="spellEnd"/>
      <w:r>
        <w:rPr>
          <w:rFonts w:ascii="Arial" w:hAnsi="Arial"/>
          <w:szCs w:val="20"/>
        </w:rPr>
        <w:t xml:space="preserve"> </w:t>
      </w:r>
      <w:proofErr w:type="spellStart"/>
      <w:r>
        <w:rPr>
          <w:rFonts w:ascii="Arial" w:hAnsi="Arial"/>
          <w:szCs w:val="20"/>
        </w:rPr>
        <w:t>NX</w:t>
      </w:r>
      <w:proofErr w:type="spellEnd"/>
      <w:r>
        <w:rPr>
          <w:rFonts w:ascii="Arial" w:hAnsi="Arial"/>
          <w:szCs w:val="20"/>
        </w:rPr>
        <w:t xml:space="preserve">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w:t>
      </w:r>
      <w:proofErr w:type="spellStart"/>
      <w:r>
        <w:rPr>
          <w:rFonts w:ascii="Arial" w:hAnsi="Arial"/>
          <w:szCs w:val="20"/>
        </w:rPr>
        <w:t>Miraclon</w:t>
      </w:r>
      <w:proofErr w:type="spellEnd"/>
      <w:r>
        <w:rPr>
          <w:rFonts w:ascii="Arial" w:hAnsi="Arial"/>
          <w:szCs w:val="20"/>
        </w:rPr>
        <w:t xml:space="preserve"> s’engage pour le futur de la </w:t>
      </w:r>
      <w:proofErr w:type="spellStart"/>
      <w:r>
        <w:rPr>
          <w:rFonts w:ascii="Arial" w:hAnsi="Arial"/>
          <w:szCs w:val="20"/>
        </w:rPr>
        <w:t>flexo</w:t>
      </w:r>
      <w:proofErr w:type="spellEnd"/>
      <w:r>
        <w:rPr>
          <w:rFonts w:ascii="Arial" w:hAnsi="Arial"/>
          <w:szCs w:val="20"/>
        </w:rPr>
        <w:t xml:space="preserve"> et est en place pour mener la bataille. </w:t>
      </w:r>
    </w:p>
    <w:p w14:paraId="08E17C67" w14:textId="77777777" w:rsidR="00F40C85" w:rsidRPr="0048015F" w:rsidRDefault="00F40C85" w:rsidP="00F40C85">
      <w:pPr>
        <w:rPr>
          <w:rFonts w:ascii="Arial" w:hAnsi="Arial" w:cs="Arial"/>
          <w:szCs w:val="20"/>
        </w:rPr>
      </w:pPr>
    </w:p>
    <w:p w14:paraId="4D6E1DF6" w14:textId="54AE6060" w:rsidR="00F40C85" w:rsidRPr="00054669" w:rsidRDefault="00F40C85" w:rsidP="00F40C85">
      <w:pPr>
        <w:rPr>
          <w:rFonts w:ascii="Arial" w:hAnsi="Arial" w:cs="Arial"/>
          <w:szCs w:val="20"/>
        </w:rPr>
      </w:pPr>
      <w:r>
        <w:rPr>
          <w:rFonts w:ascii="Arial" w:hAnsi="Arial"/>
          <w:szCs w:val="20"/>
        </w:rPr>
        <w:t xml:space="preserve">Pour en savoir plus, visitez </w:t>
      </w:r>
      <w:hyperlink r:id="rId9" w:history="1">
        <w:r>
          <w:rPr>
            <w:rStyle w:val="Lienhypertexte"/>
            <w:rFonts w:ascii="Arial" w:hAnsi="Arial"/>
            <w:szCs w:val="20"/>
          </w:rPr>
          <w:t>www.miraclon.com</w:t>
        </w:r>
      </w:hyperlink>
      <w:r>
        <w:rPr>
          <w:rFonts w:ascii="Arial" w:hAnsi="Arial"/>
          <w:szCs w:val="20"/>
        </w:rPr>
        <w:t>.</w:t>
      </w:r>
      <w:r w:rsidR="0048015F">
        <w:rPr>
          <w:rFonts w:ascii="Arial" w:hAnsi="Arial"/>
          <w:szCs w:val="20"/>
        </w:rPr>
        <w:t xml:space="preserve"> </w:t>
      </w:r>
      <w:r>
        <w:rPr>
          <w:rFonts w:ascii="Arial" w:hAnsi="Arial"/>
          <w:szCs w:val="20"/>
        </w:rPr>
        <w:t xml:space="preserve">Suivez-nous sur Twitter </w:t>
      </w:r>
      <w:hyperlink r:id="rId10" w:history="1">
        <w:r>
          <w:rPr>
            <w:rStyle w:val="Lienhypertexte"/>
            <w:rFonts w:ascii="Arial" w:hAnsi="Arial"/>
            <w:color w:val="4F81BD" w:themeColor="accent1"/>
            <w:szCs w:val="20"/>
          </w:rPr>
          <w:t>@kodakflexcel</w:t>
        </w:r>
      </w:hyperlink>
      <w:r>
        <w:rPr>
          <w:rFonts w:ascii="Arial" w:hAnsi="Arial"/>
          <w:szCs w:val="20"/>
        </w:rPr>
        <w:t xml:space="preserve"> et connectez-vous à notre compte </w:t>
      </w:r>
      <w:hyperlink r:id="rId11" w:history="1">
        <w:proofErr w:type="spellStart"/>
        <w:r>
          <w:rPr>
            <w:rStyle w:val="Lienhypertexte"/>
            <w:rFonts w:ascii="Arial" w:hAnsi="Arial"/>
            <w:szCs w:val="20"/>
          </w:rPr>
          <w:t>Miraclon</w:t>
        </w:r>
        <w:proofErr w:type="spellEnd"/>
        <w:r>
          <w:rPr>
            <w:rStyle w:val="Lienhypertexte"/>
            <w:rFonts w:ascii="Arial" w:hAnsi="Arial"/>
            <w:szCs w:val="20"/>
          </w:rPr>
          <w:t xml:space="preserve"> Corporation</w:t>
        </w:r>
      </w:hyperlink>
      <w:r>
        <w:rPr>
          <w:rFonts w:ascii="Arial" w:hAnsi="Arial"/>
          <w:szCs w:val="20"/>
        </w:rPr>
        <w:t xml:space="preserve">. </w:t>
      </w:r>
    </w:p>
    <w:p w14:paraId="14803618" w14:textId="77777777" w:rsidR="00F40C85" w:rsidRPr="0048015F" w:rsidRDefault="00F40C85" w:rsidP="00F40C85">
      <w:pPr>
        <w:rPr>
          <w:rFonts w:ascii="Arial" w:hAnsi="Arial" w:cs="Arial"/>
          <w:color w:val="000000"/>
          <w:shd w:val="clear" w:color="auto" w:fill="FFFFFF"/>
        </w:rPr>
      </w:pPr>
    </w:p>
    <w:p w14:paraId="15A7F463" w14:textId="77777777" w:rsidR="00F40C85" w:rsidRPr="0048015F" w:rsidRDefault="00F40C85" w:rsidP="00F40C85">
      <w:pPr>
        <w:rPr>
          <w:rFonts w:ascii="Arial" w:hAnsi="Arial" w:cs="Arial"/>
          <w:color w:val="000000"/>
          <w:shd w:val="clear" w:color="auto" w:fill="FFFFFF"/>
        </w:rPr>
      </w:pPr>
    </w:p>
    <w:p w14:paraId="15208C93" w14:textId="77777777" w:rsidR="0005095B" w:rsidRPr="00F40C85" w:rsidRDefault="0005095B" w:rsidP="00F40C85">
      <w:pPr>
        <w:tabs>
          <w:tab w:val="left" w:pos="360"/>
          <w:tab w:val="right" w:pos="9360"/>
        </w:tabs>
        <w:textAlignment w:val="baseline"/>
        <w:rPr>
          <w:rFonts w:ascii="Arial" w:hAnsi="Arial" w:cs="Arial"/>
          <w:sz w:val="22"/>
          <w:szCs w:val="22"/>
        </w:rPr>
      </w:pPr>
    </w:p>
    <w:sectPr w:rsidR="0005095B" w:rsidRPr="00F40C85" w:rsidSect="00D3528D">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9F5B" w14:textId="77777777" w:rsidR="009C4DEB" w:rsidRDefault="009C4DEB">
      <w:r>
        <w:separator/>
      </w:r>
    </w:p>
  </w:endnote>
  <w:endnote w:type="continuationSeparator" w:id="0">
    <w:p w14:paraId="01070C1A" w14:textId="77777777" w:rsidR="009C4DEB" w:rsidRDefault="009C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0EAC8" w14:textId="77777777" w:rsidR="009C4DEB" w:rsidRDefault="009C4DEB">
      <w:r>
        <w:separator/>
      </w:r>
    </w:p>
  </w:footnote>
  <w:footnote w:type="continuationSeparator" w:id="0">
    <w:p w14:paraId="3C945430" w14:textId="77777777" w:rsidR="009C4DEB" w:rsidRDefault="009C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grammar="clean"/>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E0NjYwtzQxtTRU0lEKTi0uzszPAykwrAUAmBrwTSwAAAA="/>
  </w:docVars>
  <w:rsids>
    <w:rsidRoot w:val="00110CE0"/>
    <w:rsid w:val="00005383"/>
    <w:rsid w:val="00014872"/>
    <w:rsid w:val="00014B9D"/>
    <w:rsid w:val="00020FA8"/>
    <w:rsid w:val="00047289"/>
    <w:rsid w:val="0005095B"/>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A3044"/>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8015F"/>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4DEB"/>
    <w:rsid w:val="009C60C4"/>
    <w:rsid w:val="009C718E"/>
    <w:rsid w:val="009D1BB4"/>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55B2"/>
    <w:rsid w:val="00BA7856"/>
    <w:rsid w:val="00BC2BCC"/>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2610"/>
    <w:rsid w:val="00E13F6D"/>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4AFE"/>
    <w:rsid w:val="00EF6E47"/>
    <w:rsid w:val="00F1394A"/>
    <w:rsid w:val="00F33E94"/>
    <w:rsid w:val="00F36983"/>
    <w:rsid w:val="00F40C85"/>
    <w:rsid w:val="00F420F4"/>
    <w:rsid w:val="00F44C54"/>
    <w:rsid w:val="00F57CC9"/>
    <w:rsid w:val="00F603A6"/>
    <w:rsid w:val="00F63755"/>
    <w:rsid w:val="00F828DC"/>
    <w:rsid w:val="00F8296B"/>
    <w:rsid w:val="00F9143C"/>
    <w:rsid w:val="00FA4044"/>
    <w:rsid w:val="00FD0AF9"/>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Titre1">
    <w:name w:val="heading 1"/>
    <w:basedOn w:val="Normal"/>
    <w:next w:val="Normal"/>
    <w:qFormat/>
    <w:rsid w:val="00514D93"/>
    <w:pPr>
      <w:keepNext/>
      <w:outlineLvl w:val="0"/>
    </w:pPr>
    <w:rPr>
      <w:b/>
    </w:rPr>
  </w:style>
  <w:style w:type="paragraph" w:styleId="Titre2">
    <w:name w:val="heading 2"/>
    <w:basedOn w:val="Normal"/>
    <w:next w:val="Normal"/>
    <w:qFormat/>
    <w:rsid w:val="00514D93"/>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64D"/>
    <w:pPr>
      <w:tabs>
        <w:tab w:val="center" w:pos="4320"/>
        <w:tab w:val="right" w:pos="8640"/>
      </w:tabs>
    </w:pPr>
  </w:style>
  <w:style w:type="paragraph" w:styleId="Pieddepage">
    <w:name w:val="footer"/>
    <w:basedOn w:val="Normal"/>
    <w:rsid w:val="00C6464D"/>
    <w:pPr>
      <w:tabs>
        <w:tab w:val="center" w:pos="4320"/>
        <w:tab w:val="right" w:pos="8640"/>
      </w:tabs>
    </w:pPr>
  </w:style>
  <w:style w:type="table" w:styleId="Grilledutableau">
    <w:name w:val="Table Grid"/>
    <w:basedOn w:val="Tableau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5A42BC"/>
    <w:rPr>
      <w:color w:val="0000FF"/>
      <w:u w:val="single"/>
    </w:rPr>
  </w:style>
  <w:style w:type="character" w:styleId="Numrodepage">
    <w:name w:val="page number"/>
    <w:basedOn w:val="Policepardfaut"/>
    <w:rsid w:val="00CF2799"/>
  </w:style>
  <w:style w:type="character" w:customStyle="1" w:styleId="body1">
    <w:name w:val="body1"/>
    <w:basedOn w:val="Policepardfau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Accentuation">
    <w:name w:val="Emphasis"/>
    <w:basedOn w:val="Policepardfau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Marquedecommentaire">
    <w:name w:val="annotation reference"/>
    <w:basedOn w:val="Policepardfaut"/>
    <w:rsid w:val="00DF61F1"/>
    <w:rPr>
      <w:sz w:val="16"/>
      <w:szCs w:val="16"/>
    </w:rPr>
  </w:style>
  <w:style w:type="paragraph" w:styleId="Commentaire">
    <w:name w:val="annotation text"/>
    <w:basedOn w:val="Normal"/>
    <w:link w:val="CommentaireCar"/>
    <w:rsid w:val="00DF61F1"/>
    <w:rPr>
      <w:rFonts w:ascii="Times New Roman" w:hAnsi="Times New Roman"/>
      <w:szCs w:val="20"/>
      <w:lang w:eastAsia="en-GB"/>
    </w:rPr>
  </w:style>
  <w:style w:type="character" w:customStyle="1" w:styleId="CommentaireCar">
    <w:name w:val="Commentaire Car"/>
    <w:basedOn w:val="Policepardfaut"/>
    <w:link w:val="Commentaire"/>
    <w:rsid w:val="00DF61F1"/>
    <w:rPr>
      <w:lang w:eastAsia="en-GB"/>
    </w:rPr>
  </w:style>
  <w:style w:type="paragraph" w:styleId="Textedebulles">
    <w:name w:val="Balloon Text"/>
    <w:basedOn w:val="Normal"/>
    <w:link w:val="TextedebullesCar"/>
    <w:rsid w:val="00DF61F1"/>
    <w:rPr>
      <w:rFonts w:ascii="Lucida Grande" w:hAnsi="Lucida Grande"/>
      <w:sz w:val="18"/>
      <w:szCs w:val="18"/>
    </w:rPr>
  </w:style>
  <w:style w:type="character" w:customStyle="1" w:styleId="TextedebullesCar">
    <w:name w:val="Texte de bulles Car"/>
    <w:basedOn w:val="Policepardfaut"/>
    <w:link w:val="Textedebulles"/>
    <w:rsid w:val="00DF61F1"/>
    <w:rPr>
      <w:rFonts w:ascii="Lucida Grande" w:hAnsi="Lucida Grande"/>
      <w:sz w:val="18"/>
      <w:szCs w:val="18"/>
    </w:rPr>
  </w:style>
  <w:style w:type="paragraph" w:styleId="Paragraphedeliste">
    <w:name w:val="List Paragraph"/>
    <w:basedOn w:val="Normal"/>
    <w:uiPriority w:val="34"/>
    <w:qFormat/>
    <w:rsid w:val="003E29D8"/>
    <w:pPr>
      <w:ind w:left="720"/>
      <w:contextualSpacing/>
    </w:pPr>
  </w:style>
  <w:style w:type="paragraph" w:styleId="Objetducommentaire">
    <w:name w:val="annotation subject"/>
    <w:basedOn w:val="Commentaire"/>
    <w:next w:val="Commentaire"/>
    <w:link w:val="ObjetducommentaireCar"/>
    <w:rsid w:val="00C5280F"/>
    <w:rPr>
      <w:rFonts w:ascii="Verdana" w:hAnsi="Verdana"/>
      <w:b/>
      <w:bCs/>
      <w:lang w:eastAsia="en-US"/>
    </w:rPr>
  </w:style>
  <w:style w:type="character" w:customStyle="1" w:styleId="ObjetducommentaireCar">
    <w:name w:val="Objet du commentaire Car"/>
    <w:basedOn w:val="CommentaireCar"/>
    <w:link w:val="Objetducommentaire"/>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character" w:styleId="Mentionnonrsolue">
    <w:name w:val="Unresolved Mention"/>
    <w:basedOn w:val="Policepardfaut"/>
    <w:rsid w:val="00F4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twitter.com/KodakFlexcel"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AF414-F850-49D8-B9E5-2654047B3D98}"/>
</file>

<file path=customXml/itemProps2.xml><?xml version="1.0" encoding="utf-8"?>
<ds:datastoreItem xmlns:ds="http://schemas.openxmlformats.org/officeDocument/2006/customXml" ds:itemID="{0EC2AEFC-D87C-47B1-A84D-040CC74EF56F}"/>
</file>

<file path=customXml/itemProps3.xml><?xml version="1.0" encoding="utf-8"?>
<ds:datastoreItem xmlns:ds="http://schemas.openxmlformats.org/officeDocument/2006/customXml" ds:itemID="{26A0C4D2-5CC6-43F8-8B73-E26047E1E07F}"/>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2020-10-20T14:55:00Z</dcterms:created>
  <dcterms:modified xsi:type="dcterms:W3CDTF">2020-10-22T10:30:00Z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