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46217FF0" w:rsidR="006971B3" w:rsidRDefault="00173E5A" w:rsidP="006971B3">
      <w:pPr>
        <w:spacing w:line="360" w:lineRule="auto"/>
        <w:jc w:val="both"/>
        <w:rPr>
          <w:rFonts w:cs="Arial"/>
          <w:b/>
        </w:rPr>
      </w:pPr>
      <w:r>
        <w:rPr>
          <w:rFonts w:cs="Arial"/>
          <w:b/>
          <w:lang w:bidi="es-ES"/>
        </w:rPr>
        <w:t xml:space="preserve">15 </w:t>
      </w:r>
      <w:r w:rsidR="006971B3">
        <w:rPr>
          <w:rFonts w:cs="Arial"/>
          <w:b/>
          <w:lang w:bidi="es-ES"/>
        </w:rPr>
        <w:t xml:space="preserve">de </w:t>
      </w:r>
      <w:r w:rsidR="00837C31">
        <w:rPr>
          <w:rFonts w:cs="Arial"/>
          <w:b/>
          <w:lang w:bidi="es-ES"/>
        </w:rPr>
        <w:t>febrero</w:t>
      </w:r>
      <w:r w:rsidR="00354E33">
        <w:rPr>
          <w:rFonts w:cs="Arial"/>
          <w:b/>
          <w:lang w:bidi="es-ES"/>
        </w:rPr>
        <w:t xml:space="preserve"> </w:t>
      </w:r>
      <w:r w:rsidR="006971B3">
        <w:rPr>
          <w:rFonts w:cs="Arial"/>
          <w:b/>
          <w:lang w:bidi="es-ES"/>
        </w:rPr>
        <w:t xml:space="preserve">de </w:t>
      </w:r>
      <w:r w:rsidR="00377BAE">
        <w:rPr>
          <w:rFonts w:cs="Arial"/>
          <w:b/>
          <w:lang w:bidi="es-ES"/>
        </w:rPr>
        <w:t>202</w:t>
      </w:r>
      <w:r w:rsidR="00837C31">
        <w:rPr>
          <w:rFonts w:cs="Arial"/>
          <w:b/>
          <w:lang w:bidi="es-ES"/>
        </w:rPr>
        <w:t>1</w:t>
      </w:r>
    </w:p>
    <w:p w14:paraId="67A85787" w14:textId="77777777" w:rsidR="006971B3" w:rsidRDefault="006971B3" w:rsidP="006971B3">
      <w:pPr>
        <w:spacing w:line="360" w:lineRule="auto"/>
        <w:jc w:val="both"/>
        <w:rPr>
          <w:rFonts w:cs="Arial"/>
          <w:b/>
        </w:rPr>
      </w:pPr>
    </w:p>
    <w:p w14:paraId="779A3458" w14:textId="6B081BD0" w:rsidR="006971B3" w:rsidRDefault="00173E5A" w:rsidP="006971B3">
      <w:pPr>
        <w:spacing w:line="360" w:lineRule="auto"/>
        <w:jc w:val="both"/>
        <w:rPr>
          <w:rFonts w:cs="Arial"/>
          <w:b/>
          <w:lang w:bidi="es-ES"/>
        </w:rPr>
      </w:pPr>
      <w:r w:rsidRPr="00173E5A">
        <w:rPr>
          <w:rFonts w:cs="Arial"/>
          <w:b/>
          <w:lang w:bidi="es-ES"/>
        </w:rPr>
        <w:t>Tecnología de impresión digital para una economía circular</w:t>
      </w:r>
      <w:r w:rsidR="001C33D0" w:rsidRPr="001C33D0">
        <w:rPr>
          <w:rFonts w:cs="Arial"/>
          <w:b/>
          <w:lang w:bidi="es-ES"/>
        </w:rPr>
        <w:tab/>
      </w:r>
      <w:r w:rsidR="001C33D0" w:rsidRPr="001C33D0">
        <w:rPr>
          <w:rFonts w:cs="Arial"/>
          <w:b/>
          <w:lang w:bidi="es-ES"/>
        </w:rPr>
        <w:tab/>
      </w:r>
      <w:r w:rsidR="001C33D0" w:rsidRPr="001C33D0">
        <w:rPr>
          <w:rFonts w:cs="Arial"/>
          <w:b/>
          <w:lang w:bidi="es-ES"/>
        </w:rPr>
        <w:tab/>
      </w:r>
      <w:r w:rsidR="001C33D0" w:rsidRPr="001C33D0">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837C31" w:rsidRPr="00837C31">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0C2D481E" w14:textId="77777777" w:rsidR="00173E5A" w:rsidRDefault="00173E5A" w:rsidP="001C33D0">
      <w:pPr>
        <w:spacing w:line="360" w:lineRule="auto"/>
        <w:jc w:val="both"/>
        <w:rPr>
          <w:rFonts w:cs="Arial"/>
          <w:i/>
          <w:lang w:bidi="es-ES"/>
        </w:rPr>
      </w:pPr>
      <w:r w:rsidRPr="00173E5A">
        <w:rPr>
          <w:rFonts w:cs="Arial"/>
          <w:i/>
          <w:lang w:bidi="es-ES"/>
        </w:rPr>
        <w:t xml:space="preserve">Fujifilm </w:t>
      </w:r>
      <w:proofErr w:type="spellStart"/>
      <w:r w:rsidRPr="00173E5A">
        <w:rPr>
          <w:rFonts w:cs="Arial"/>
          <w:i/>
          <w:lang w:bidi="es-ES"/>
        </w:rPr>
        <w:t>Graphic</w:t>
      </w:r>
      <w:proofErr w:type="spellEnd"/>
      <w:r w:rsidRPr="00173E5A">
        <w:rPr>
          <w:rFonts w:cs="Arial"/>
          <w:i/>
          <w:lang w:bidi="es-ES"/>
        </w:rPr>
        <w:t xml:space="preserve"> </w:t>
      </w:r>
      <w:proofErr w:type="spellStart"/>
      <w:r w:rsidRPr="00173E5A">
        <w:rPr>
          <w:rFonts w:cs="Arial"/>
          <w:i/>
          <w:lang w:bidi="es-ES"/>
        </w:rPr>
        <w:t>Systems</w:t>
      </w:r>
      <w:proofErr w:type="spellEnd"/>
      <w:r w:rsidRPr="00173E5A">
        <w:rPr>
          <w:rFonts w:cs="Arial"/>
          <w:i/>
          <w:lang w:bidi="es-ES"/>
        </w:rPr>
        <w:t xml:space="preserve"> </w:t>
      </w:r>
      <w:proofErr w:type="spellStart"/>
      <w:r w:rsidRPr="00173E5A">
        <w:rPr>
          <w:rFonts w:cs="Arial"/>
          <w:i/>
          <w:lang w:bidi="es-ES"/>
        </w:rPr>
        <w:t>Europe</w:t>
      </w:r>
      <w:proofErr w:type="spellEnd"/>
      <w:r w:rsidRPr="00173E5A">
        <w:rPr>
          <w:rFonts w:cs="Arial"/>
          <w:i/>
          <w:lang w:bidi="es-ES"/>
        </w:rPr>
        <w:t xml:space="preserve"> publica un informe técnico dedicado al medio ambiente en el que explora el papel de la impresión en un mundo caracterizado por los objetivos «cero» y la mayor sensibilización ambiental</w:t>
      </w:r>
    </w:p>
    <w:p w14:paraId="337BE68C" w14:textId="77777777" w:rsidR="00173E5A" w:rsidRDefault="00173E5A" w:rsidP="001C33D0">
      <w:pPr>
        <w:spacing w:line="360" w:lineRule="auto"/>
        <w:jc w:val="both"/>
        <w:rPr>
          <w:rFonts w:cs="Arial"/>
          <w:i/>
          <w:lang w:bidi="es-ES"/>
        </w:rPr>
      </w:pPr>
    </w:p>
    <w:p w14:paraId="3D751CE4" w14:textId="36B8D6FB" w:rsidR="001C33D0" w:rsidRDefault="00173E5A" w:rsidP="001C33D0">
      <w:pPr>
        <w:spacing w:line="360" w:lineRule="auto"/>
        <w:jc w:val="both"/>
        <w:rPr>
          <w:rFonts w:cs="Arial"/>
          <w:iCs/>
          <w:lang w:bidi="es-ES"/>
        </w:rPr>
      </w:pPr>
      <w:r w:rsidRPr="00173E5A">
        <w:rPr>
          <w:rFonts w:cs="Arial"/>
          <w:iCs/>
          <w:lang w:bidi="es-ES"/>
        </w:rPr>
        <w:t>El Plan de acción para la economía circular de la UE presenta una estrategia orientada a transformar la economía europea en una economía sostenible y plenamente circular en 2050. Este objetivo, junto con la presión de unos consumidores cada vez más sensibilizados con el medio ambiente, hace que las empresas y las marcas en Europa aboguen cada vez más por mejorar las prácticas medioambientales y reducir los residuos y las emisiones de carbono. En este contexto, es inevitable que las comunicaciones impresas y los materiales de marketing estén siendo examinados. Fujifilm, en este nuevo libro blanco, examina las formas en que las marcas pueden tomar decisiones mucho más sostenibles a la hora de abastecerse de materiales impresos, sin perder las ventajas singulares que ofrece la impresión.</w:t>
      </w:r>
    </w:p>
    <w:p w14:paraId="6C1C3B9D" w14:textId="77777777" w:rsidR="00173E5A" w:rsidRPr="001C33D0" w:rsidRDefault="00173E5A" w:rsidP="001C33D0">
      <w:pPr>
        <w:spacing w:line="360" w:lineRule="auto"/>
        <w:jc w:val="both"/>
        <w:rPr>
          <w:rFonts w:cs="Arial"/>
          <w:iCs/>
          <w:lang w:bidi="es-ES"/>
        </w:rPr>
      </w:pPr>
    </w:p>
    <w:p w14:paraId="69A1AC2E" w14:textId="77777777" w:rsidR="00173E5A" w:rsidRPr="00173E5A" w:rsidRDefault="00173E5A" w:rsidP="00173E5A">
      <w:pPr>
        <w:spacing w:line="360" w:lineRule="auto"/>
        <w:jc w:val="both"/>
        <w:rPr>
          <w:rFonts w:cs="Arial"/>
          <w:iCs/>
          <w:lang w:bidi="es-ES"/>
        </w:rPr>
      </w:pPr>
      <w:r w:rsidRPr="00173E5A">
        <w:rPr>
          <w:rFonts w:cs="Arial"/>
          <w:iCs/>
          <w:lang w:bidi="es-ES"/>
        </w:rPr>
        <w:t xml:space="preserve">«Las marcas entienden las múltiples ventajas de la impresión como herramienta de comunicación», explica Mark Stephenson, responsable de producto de la división de sistemas de impresión digital de Fujifilm </w:t>
      </w:r>
      <w:proofErr w:type="spellStart"/>
      <w:r w:rsidRPr="00173E5A">
        <w:rPr>
          <w:rFonts w:cs="Arial"/>
          <w:iCs/>
          <w:lang w:bidi="es-ES"/>
        </w:rPr>
        <w:t>Graphic</w:t>
      </w:r>
      <w:proofErr w:type="spellEnd"/>
      <w:r w:rsidRPr="00173E5A">
        <w:rPr>
          <w:rFonts w:cs="Arial"/>
          <w:iCs/>
          <w:lang w:bidi="es-ES"/>
        </w:rPr>
        <w:t xml:space="preserve"> </w:t>
      </w:r>
      <w:proofErr w:type="spellStart"/>
      <w:r w:rsidRPr="00173E5A">
        <w:rPr>
          <w:rFonts w:cs="Arial"/>
          <w:iCs/>
          <w:lang w:bidi="es-ES"/>
        </w:rPr>
        <w:t>Systems</w:t>
      </w:r>
      <w:proofErr w:type="spellEnd"/>
      <w:r w:rsidRPr="00173E5A">
        <w:rPr>
          <w:rFonts w:cs="Arial"/>
          <w:iCs/>
          <w:lang w:bidi="es-ES"/>
        </w:rPr>
        <w:t xml:space="preserve"> </w:t>
      </w:r>
      <w:proofErr w:type="spellStart"/>
      <w:r w:rsidRPr="00173E5A">
        <w:rPr>
          <w:rFonts w:cs="Arial"/>
          <w:iCs/>
          <w:lang w:bidi="es-ES"/>
        </w:rPr>
        <w:t>Europe</w:t>
      </w:r>
      <w:proofErr w:type="spellEnd"/>
      <w:r w:rsidRPr="00173E5A">
        <w:rPr>
          <w:rFonts w:cs="Arial"/>
          <w:iCs/>
          <w:lang w:bidi="es-ES"/>
        </w:rPr>
        <w:t xml:space="preserve">. «Saben que la impresión transmite seriedad, autoridad y calidad, y que estas cualidades inspiran fidelidad. Pero cuando se trata de cumplir objetivos medioambientales y de reducción de carbono, muchas marcas creen que su única opción consiste en recortar. Este libro blanco va dirigido a ellas. Queríamos demostrar que no se trata de dos ideas contradictorias. Con un conocimiento más profundo de los procesos de impresión modernos, las marcas pueden tomar decisiones fundamentadas y sostenibles que les permitan seguir aprovechando las numerosas ventajas de la impresión, sin dejar de cumplir con sus responsabilidades medioambientales. </w:t>
      </w:r>
    </w:p>
    <w:p w14:paraId="7A575CF0" w14:textId="77777777" w:rsidR="00173E5A" w:rsidRPr="00173E5A" w:rsidRDefault="00173E5A" w:rsidP="00173E5A">
      <w:pPr>
        <w:spacing w:line="360" w:lineRule="auto"/>
        <w:jc w:val="both"/>
        <w:rPr>
          <w:rFonts w:cs="Arial"/>
          <w:iCs/>
          <w:lang w:bidi="es-ES"/>
        </w:rPr>
      </w:pPr>
    </w:p>
    <w:p w14:paraId="0495698A" w14:textId="77777777" w:rsidR="00173E5A" w:rsidRPr="00173E5A" w:rsidRDefault="00173E5A" w:rsidP="00173E5A">
      <w:pPr>
        <w:spacing w:line="360" w:lineRule="auto"/>
        <w:jc w:val="both"/>
        <w:rPr>
          <w:rFonts w:cs="Arial"/>
          <w:iCs/>
          <w:lang w:bidi="es-ES"/>
        </w:rPr>
      </w:pPr>
      <w:r w:rsidRPr="00173E5A">
        <w:rPr>
          <w:rFonts w:cs="Arial"/>
          <w:iCs/>
          <w:lang w:bidi="es-ES"/>
        </w:rPr>
        <w:lastRenderedPageBreak/>
        <w:t xml:space="preserve">«Nuestra manera de imprimir se ha transformado radicalmente en los últimos veinte años; desde el punto de vista medioambiental, gran parte de este cambio ha tenido un carácter muy positivo. Sin embargo, la percepción generalizada fuera de la industria no es exactamente la misma. La sostenibilidad es un asunto de gran importancia para Fujifilm, por lo que nuestro libro blanco analiza una serie de técnicas de impresión modernas y cómo nuestras propias tecnologías, en particular las incorporadas en la Jet </w:t>
      </w:r>
      <w:proofErr w:type="spellStart"/>
      <w:r w:rsidRPr="00173E5A">
        <w:rPr>
          <w:rFonts w:cs="Arial"/>
          <w:iCs/>
          <w:lang w:bidi="es-ES"/>
        </w:rPr>
        <w:t>Press</w:t>
      </w:r>
      <w:proofErr w:type="spellEnd"/>
      <w:r w:rsidRPr="00173E5A">
        <w:rPr>
          <w:rFonts w:cs="Arial"/>
          <w:iCs/>
          <w:lang w:bidi="es-ES"/>
        </w:rPr>
        <w:t xml:space="preserve">, están contribuyendo a reducir los residuos y a impulsar la reciclabilidad. </w:t>
      </w:r>
    </w:p>
    <w:p w14:paraId="72FE7A78" w14:textId="77777777" w:rsidR="00173E5A" w:rsidRPr="00173E5A" w:rsidRDefault="00173E5A" w:rsidP="00173E5A">
      <w:pPr>
        <w:spacing w:line="360" w:lineRule="auto"/>
        <w:jc w:val="both"/>
        <w:rPr>
          <w:rFonts w:cs="Arial"/>
          <w:iCs/>
          <w:lang w:bidi="es-ES"/>
        </w:rPr>
      </w:pPr>
    </w:p>
    <w:p w14:paraId="61926001" w14:textId="51A1A1D9" w:rsidR="00837C31" w:rsidRPr="00837C31" w:rsidRDefault="00173E5A" w:rsidP="00173E5A">
      <w:pPr>
        <w:spacing w:line="360" w:lineRule="auto"/>
        <w:jc w:val="both"/>
        <w:rPr>
          <w:rFonts w:cs="Arial"/>
          <w:iCs/>
          <w:lang w:bidi="es-ES"/>
        </w:rPr>
      </w:pPr>
      <w:r w:rsidRPr="00173E5A">
        <w:rPr>
          <w:rFonts w:cs="Arial"/>
          <w:iCs/>
          <w:lang w:bidi="es-ES"/>
        </w:rPr>
        <w:t xml:space="preserve">Fujifilm presentará formalmente el libro blanco en el marco del evento online en directo: </w:t>
      </w:r>
      <w:proofErr w:type="spellStart"/>
      <w:r w:rsidRPr="00173E5A">
        <w:rPr>
          <w:rFonts w:cs="Arial"/>
          <w:iCs/>
          <w:lang w:bidi="es-ES"/>
        </w:rPr>
        <w:t>The</w:t>
      </w:r>
      <w:proofErr w:type="spellEnd"/>
      <w:r w:rsidRPr="00173E5A">
        <w:rPr>
          <w:rFonts w:cs="Arial"/>
          <w:iCs/>
          <w:lang w:bidi="es-ES"/>
        </w:rPr>
        <w:t xml:space="preserve"> </w:t>
      </w:r>
      <w:proofErr w:type="spellStart"/>
      <w:r w:rsidRPr="00173E5A">
        <w:rPr>
          <w:rFonts w:cs="Arial"/>
          <w:iCs/>
          <w:lang w:bidi="es-ES"/>
        </w:rPr>
        <w:t>Really</w:t>
      </w:r>
      <w:proofErr w:type="spellEnd"/>
      <w:r w:rsidRPr="00173E5A">
        <w:rPr>
          <w:rFonts w:cs="Arial"/>
          <w:iCs/>
          <w:lang w:bidi="es-ES"/>
        </w:rPr>
        <w:t xml:space="preserve"> </w:t>
      </w:r>
      <w:proofErr w:type="spellStart"/>
      <w:r w:rsidRPr="00173E5A">
        <w:rPr>
          <w:rFonts w:cs="Arial"/>
          <w:iCs/>
          <w:lang w:bidi="es-ES"/>
        </w:rPr>
        <w:t>Sustainable</w:t>
      </w:r>
      <w:proofErr w:type="spellEnd"/>
      <w:r w:rsidRPr="00173E5A">
        <w:rPr>
          <w:rFonts w:cs="Arial"/>
          <w:iCs/>
          <w:lang w:bidi="es-ES"/>
        </w:rPr>
        <w:t xml:space="preserve"> </w:t>
      </w:r>
      <w:proofErr w:type="spellStart"/>
      <w:r w:rsidRPr="00173E5A">
        <w:rPr>
          <w:rFonts w:cs="Arial"/>
          <w:iCs/>
          <w:lang w:bidi="es-ES"/>
        </w:rPr>
        <w:t>Production</w:t>
      </w:r>
      <w:proofErr w:type="spellEnd"/>
      <w:r w:rsidRPr="00173E5A">
        <w:rPr>
          <w:rFonts w:cs="Arial"/>
          <w:iCs/>
          <w:lang w:bidi="es-ES"/>
        </w:rPr>
        <w:t xml:space="preserve"> </w:t>
      </w:r>
      <w:proofErr w:type="gramStart"/>
      <w:r w:rsidRPr="00173E5A">
        <w:rPr>
          <w:rFonts w:cs="Arial"/>
          <w:iCs/>
          <w:lang w:bidi="es-ES"/>
        </w:rPr>
        <w:t>Show</w:t>
      </w:r>
      <w:proofErr w:type="gramEnd"/>
      <w:r w:rsidRPr="00173E5A">
        <w:rPr>
          <w:rFonts w:cs="Arial"/>
          <w:iCs/>
          <w:lang w:bidi="es-ES"/>
        </w:rPr>
        <w:t xml:space="preserve">, el próximo 24 de febrero. </w:t>
      </w:r>
      <w:hyperlink r:id="rId11" w:history="1">
        <w:r w:rsidRPr="00974FFC">
          <w:rPr>
            <w:rStyle w:val="Hyperlink"/>
            <w:rFonts w:cs="Arial"/>
            <w:iCs/>
            <w:lang w:bidi="es-ES"/>
          </w:rPr>
          <w:t>Haga clic aquí para registrarse en el evento de presentación del libro blanco.</w:t>
        </w:r>
      </w:hyperlink>
      <w:r w:rsidR="00C74D90" w:rsidRPr="001C33D0">
        <w:rPr>
          <w:rFonts w:cs="Arial"/>
          <w:iCs/>
          <w:lang w:bidi="es-ES"/>
        </w:rPr>
        <w:t xml:space="preserve"> </w:t>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1C33D0" w:rsidRPr="001C33D0">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r w:rsidR="00837C31" w:rsidRPr="00837C31">
        <w:rPr>
          <w:rFonts w:cs="Arial"/>
          <w:iCs/>
          <w:lang w:bidi="es-ES"/>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2"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lastRenderedPageBreak/>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3"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18019"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D5733"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5A"/>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33D0"/>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05F6F"/>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560F3"/>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37C31"/>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4FFC"/>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74D90"/>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42D50"/>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styleId="UnresolvedMention">
    <w:name w:val="Unresolved Mention"/>
    <w:basedOn w:val="DefaultParagraphFont"/>
    <w:uiPriority w:val="99"/>
    <w:semiHidden/>
    <w:unhideWhenUsed/>
    <w:rsid w:val="00C74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1726640267">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Reallysustainableproductionshow.html?utm_source=referral&amp;utm_medium=pr&amp;utm_campaign=JetPress750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B26D-25FC-49BC-99F6-8B29511CCC32}">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2021-02-12T14:36:00Z</dcterms:created>
  <dcterms:modified xsi:type="dcterms:W3CDTF">2021-02-12T14:56:00Z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