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22BF6D7" w:rsidR="009F6C63" w:rsidRDefault="00410F0B" w:rsidP="009D2C80">
      <w:pPr>
        <w:pStyle w:val="p1"/>
        <w:spacing w:line="360" w:lineRule="auto"/>
      </w:pPr>
      <w:r>
        <w:rPr>
          <w:b/>
          <w:sz w:val="20"/>
        </w:rPr>
        <w:t>Étude de cas</w:t>
      </w:r>
    </w:p>
    <w:p w14:paraId="2C77D67B" w14:textId="64A25D98" w:rsidR="009F6C63" w:rsidRDefault="009F6C63" w:rsidP="009D2C80">
      <w:pPr>
        <w:pStyle w:val="Standard"/>
        <w:rPr>
          <w:rFonts w:ascii="Arial" w:hAnsi="Arial" w:cs="Arial"/>
          <w:szCs w:val="20"/>
          <w:lang w:val="en-US"/>
        </w:rPr>
      </w:pPr>
    </w:p>
    <w:p w14:paraId="43ED8ABA" w14:textId="77777777" w:rsidR="002E2ABE" w:rsidRDefault="002E2ABE" w:rsidP="009D2C80">
      <w:pPr>
        <w:pStyle w:val="Standard"/>
        <w:rPr>
          <w:rFonts w:ascii="Arial" w:hAnsi="Arial" w:cs="Arial"/>
          <w:szCs w:val="20"/>
          <w:lang w:val="en-US"/>
        </w:rPr>
      </w:pPr>
    </w:p>
    <w:p w14:paraId="0C6BF12C" w14:textId="77777777" w:rsidR="009F6C63" w:rsidRPr="002E2ABE" w:rsidRDefault="00410F0B" w:rsidP="009D2C80">
      <w:pPr>
        <w:pStyle w:val="Standard"/>
        <w:rPr>
          <w:rFonts w:ascii="Arial" w:hAnsi="Arial" w:cs="Arial"/>
          <w:szCs w:val="20"/>
        </w:rPr>
      </w:pPr>
      <w:r>
        <w:rPr>
          <w:rFonts w:ascii="Arial" w:hAnsi="Arial"/>
        </w:rPr>
        <w:t>Contact presse :</w:t>
      </w:r>
    </w:p>
    <w:p w14:paraId="240FD936" w14:textId="4EE51E33" w:rsidR="009F6C63" w:rsidRPr="002E2ABE" w:rsidRDefault="00410F0B" w:rsidP="009D2C80">
      <w:pPr>
        <w:pStyle w:val="Standard"/>
        <w:rPr>
          <w:rFonts w:ascii="Arial" w:hAnsi="Arial" w:cs="Arial"/>
          <w:szCs w:val="20"/>
        </w:rPr>
      </w:pPr>
      <w:r>
        <w:rPr>
          <w:rFonts w:ascii="Arial" w:hAnsi="Arial"/>
        </w:rPr>
        <w:t xml:space="preserve">Miraclon : </w:t>
      </w:r>
      <w:r>
        <w:rPr>
          <w:rFonts w:ascii="Arial" w:hAnsi="Arial"/>
          <w:color w:val="000000"/>
        </w:rPr>
        <w:t>Elni Van Rensburg - +1 830 317 0950 –</w:t>
      </w:r>
      <w:hyperlink r:id="rId11" w:history="1">
        <w:r>
          <w:rPr>
            <w:rStyle w:val="Hyperlink"/>
            <w:rFonts w:ascii="Arial" w:hAnsi="Arial"/>
          </w:rPr>
          <w:t>elni.vanrensburg@miraclon.com</w:t>
        </w:r>
      </w:hyperlink>
      <w:r>
        <w:rPr>
          <w:rFonts w:ascii="Arial" w:hAnsi="Arial"/>
          <w:color w:val="000000"/>
        </w:rPr>
        <w:t xml:space="preserve">  </w:t>
      </w:r>
    </w:p>
    <w:p w14:paraId="0F0CB740" w14:textId="3489BA46" w:rsidR="009F6C63" w:rsidRPr="002E2ABE" w:rsidRDefault="00410F0B" w:rsidP="009D2C80">
      <w:pPr>
        <w:pStyle w:val="p1"/>
        <w:rPr>
          <w:sz w:val="20"/>
          <w:szCs w:val="20"/>
        </w:rPr>
      </w:pPr>
      <w:r>
        <w:rPr>
          <w:color w:val="000000"/>
          <w:sz w:val="20"/>
        </w:rPr>
        <w:t xml:space="preserve">AD Communications : Imogen Woods : +44 (0) 1372 460545 – </w:t>
      </w:r>
      <w:hyperlink r:id="rId12" w:history="1">
        <w:r>
          <w:rPr>
            <w:sz w:val="20"/>
          </w:rPr>
          <w:t>iwoods@adcomms.co.uk</w:t>
        </w:r>
      </w:hyperlink>
      <w:r>
        <w:rPr>
          <w:sz w:val="20"/>
        </w:rPr>
        <w:t xml:space="preserve"> </w:t>
      </w:r>
    </w:p>
    <w:p w14:paraId="75DEC26D" w14:textId="77777777" w:rsidR="009F6C63" w:rsidRPr="002E2ABE" w:rsidRDefault="009F6C63" w:rsidP="009D2C80">
      <w:pPr>
        <w:pStyle w:val="Standard"/>
        <w:rPr>
          <w:rFonts w:ascii="Arial" w:hAnsi="Arial" w:cs="Arial"/>
          <w:color w:val="000000"/>
          <w:szCs w:val="20"/>
          <w:lang w:val="en-US"/>
        </w:rPr>
      </w:pPr>
    </w:p>
    <w:p w14:paraId="7DD5C7EE" w14:textId="440C2E55" w:rsidR="009F6C63" w:rsidRPr="002E2ABE" w:rsidRDefault="00747F66" w:rsidP="009D2C80">
      <w:pPr>
        <w:pStyle w:val="Standard"/>
        <w:rPr>
          <w:rFonts w:ascii="Arial" w:hAnsi="Arial" w:cs="Arial"/>
          <w:szCs w:val="20"/>
        </w:rPr>
      </w:pPr>
      <w:r>
        <w:rPr>
          <w:rFonts w:ascii="Arial" w:hAnsi="Arial"/>
          <w:color w:val="000000"/>
        </w:rPr>
        <w:t>4</w:t>
      </w:r>
      <w:r w:rsidR="007975BF">
        <w:rPr>
          <w:rFonts w:ascii="Arial" w:hAnsi="Arial"/>
          <w:color w:val="000000"/>
        </w:rPr>
        <w:t> </w:t>
      </w:r>
      <w:r w:rsidR="00622015" w:rsidRPr="00622015">
        <w:rPr>
          <w:rFonts w:ascii="Arial" w:hAnsi="Arial"/>
          <w:color w:val="000000"/>
        </w:rPr>
        <w:t>février</w:t>
      </w:r>
      <w:r w:rsidR="00622015">
        <w:rPr>
          <w:rFonts w:ascii="Arial" w:hAnsi="Arial"/>
          <w:color w:val="000000"/>
        </w:rPr>
        <w:t xml:space="preserve"> </w:t>
      </w:r>
      <w:r w:rsidR="007975BF">
        <w:rPr>
          <w:rFonts w:ascii="Arial" w:hAnsi="Arial"/>
          <w:color w:val="000000"/>
        </w:rPr>
        <w:t>2021</w:t>
      </w:r>
    </w:p>
    <w:p w14:paraId="0D63EAE1" w14:textId="77777777" w:rsidR="009F6C63" w:rsidRPr="002E2ABE" w:rsidRDefault="009F6C63" w:rsidP="009D2C80">
      <w:pPr>
        <w:pStyle w:val="Standard"/>
        <w:rPr>
          <w:rFonts w:ascii="Arial" w:hAnsi="Arial" w:cs="Arial"/>
          <w:color w:val="000000"/>
          <w:szCs w:val="20"/>
          <w:lang w:val="en-US"/>
        </w:rPr>
      </w:pPr>
    </w:p>
    <w:p w14:paraId="39EC40F7" w14:textId="77777777" w:rsidR="009F6C63" w:rsidRPr="002E2ABE" w:rsidRDefault="009F6C63" w:rsidP="009D2C80">
      <w:pPr>
        <w:pStyle w:val="p1"/>
        <w:spacing w:line="360" w:lineRule="auto"/>
        <w:jc w:val="center"/>
        <w:rPr>
          <w:sz w:val="20"/>
          <w:szCs w:val="20"/>
        </w:rPr>
      </w:pPr>
    </w:p>
    <w:p w14:paraId="3785249D" w14:textId="2886B3B9" w:rsidR="009F6C63" w:rsidRDefault="00410F0B" w:rsidP="009D2C80">
      <w:pPr>
        <w:pStyle w:val="p1"/>
        <w:spacing w:line="360" w:lineRule="auto"/>
        <w:jc w:val="center"/>
      </w:pPr>
      <w:r>
        <w:rPr>
          <w:b/>
          <w:sz w:val="26"/>
        </w:rPr>
        <w:t>Fleksograf studio prepress : des services flexo de qualité supérieure, sans compromis</w:t>
      </w:r>
    </w:p>
    <w:p w14:paraId="09DA6F8F" w14:textId="77777777" w:rsidR="009F6C63" w:rsidRDefault="009F6C63" w:rsidP="009D2C80">
      <w:pPr>
        <w:pStyle w:val="p1"/>
        <w:spacing w:line="360" w:lineRule="auto"/>
        <w:jc w:val="both"/>
        <w:rPr>
          <w:sz w:val="22"/>
          <w:szCs w:val="22"/>
          <w:lang w:val="en-US"/>
        </w:rPr>
      </w:pPr>
    </w:p>
    <w:p w14:paraId="1BF6703B" w14:textId="16604B6B" w:rsidR="009F6C63" w:rsidRDefault="00410F0B" w:rsidP="009D2C80">
      <w:pPr>
        <w:pStyle w:val="p1"/>
        <w:spacing w:line="360" w:lineRule="auto"/>
        <w:jc w:val="both"/>
      </w:pPr>
      <w:r>
        <w:rPr>
          <w:sz w:val="22"/>
        </w:rPr>
        <w:t>L’approche de Krzysztof Malengowski, propriétaire de l’entreprise polonaise de prépresse</w:t>
      </w:r>
      <w:r>
        <w:rPr>
          <w:i/>
          <w:iCs/>
          <w:sz w:val="22"/>
        </w:rPr>
        <w:t xml:space="preserve"> Fleksograf studio prepress</w:t>
      </w:r>
      <w:r>
        <w:rPr>
          <w:sz w:val="22"/>
        </w:rPr>
        <w:t>, envers son activité et ses clients peut se résumer en un mot : qualité. C’est donc en toute logique que le slogan de l’entreprise, « Quand la qualité compte », s’articule autour de ce concept qui, selon lui, « définit le mieux le fonctionnement de notre activité ». « Dès nos débuts, en 2001, la satisfaction de nos clients était notre principal objectif, parfois même au-delà de leurs attentes, à travers la mise en œuvre systématique des dernières technologies et procédures pour améliorer la qualité de nos plaques flexo. »</w:t>
      </w:r>
    </w:p>
    <w:p w14:paraId="583C5283" w14:textId="77777777" w:rsidR="009F6C63" w:rsidRDefault="009F6C63" w:rsidP="009D2C80">
      <w:pPr>
        <w:pStyle w:val="p1"/>
        <w:spacing w:line="360" w:lineRule="auto"/>
        <w:jc w:val="both"/>
        <w:rPr>
          <w:sz w:val="22"/>
          <w:szCs w:val="22"/>
          <w:lang w:val="en-US"/>
        </w:rPr>
      </w:pPr>
    </w:p>
    <w:p w14:paraId="1D364595" w14:textId="06A7A41B" w:rsidR="009F6C63" w:rsidRDefault="00410F0B" w:rsidP="009D2C80">
      <w:pPr>
        <w:pStyle w:val="p1"/>
        <w:spacing w:line="360" w:lineRule="auto"/>
      </w:pPr>
      <w:r>
        <w:rPr>
          <w:sz w:val="22"/>
        </w:rPr>
        <w:t>M. Malengowski étudiait l’égyptologie à l’université de Varsovie lorsqu’il a découvert le procédé de prépresse pour la première fois, à l’époque pour l’impression offset. « Une grande partie du travail d’égyptologue consiste à copier des écritures anciennes, comme les hiéroglyphes. J’ai ainsi appris à utiliser différents types de logiciels informatiques, et d’une certaine manière, j’y vois un lien avec ce à quoi je me consacre aujourd’hui. » Authentique passionné du prépresse, il a ensuite travaillé pour diverses entreprises de prépresse flexo jusqu’à la création de son propre atelier Fleksograf studio prepress en 2001, convaincu de pouvoir offrir à sa clientèle un service de meilleure qualité. En un an, l’entreprise comptait déjà cinq employés. Elle s’est depuis étendue sur deux sites pour accueillir 35 personnes qui fournissent une gamme complète de services prépresse de grand calibre, dont environ 10 000 m</w:t>
      </w:r>
      <w:r>
        <w:rPr>
          <w:sz w:val="22"/>
          <w:vertAlign w:val="superscript"/>
        </w:rPr>
        <w:t>2</w:t>
      </w:r>
      <w:r>
        <w:rPr>
          <w:sz w:val="22"/>
        </w:rPr>
        <w:t xml:space="preserve"> de plaques flexo par an à divers clients de toute l’Europe, sur des marchés tels que l’alimentation et l’hygiène.</w:t>
      </w:r>
    </w:p>
    <w:p w14:paraId="46181E60" w14:textId="77777777" w:rsidR="009F6C63" w:rsidRDefault="009F6C63" w:rsidP="009D2C80">
      <w:pPr>
        <w:pStyle w:val="p1"/>
        <w:spacing w:line="360" w:lineRule="auto"/>
        <w:jc w:val="both"/>
        <w:rPr>
          <w:sz w:val="22"/>
          <w:szCs w:val="22"/>
          <w:lang w:val="en-US"/>
        </w:rPr>
      </w:pPr>
    </w:p>
    <w:p w14:paraId="26521A06" w14:textId="255E4BBF" w:rsidR="009F6C63" w:rsidRPr="00440F28" w:rsidRDefault="00410F0B" w:rsidP="009D2C80">
      <w:pPr>
        <w:pStyle w:val="p1"/>
        <w:spacing w:line="360" w:lineRule="auto"/>
        <w:rPr>
          <w:sz w:val="22"/>
          <w:szCs w:val="22"/>
        </w:rPr>
      </w:pPr>
      <w:r>
        <w:rPr>
          <w:sz w:val="22"/>
        </w:rPr>
        <w:t>M. Malengowski souligne : « tous nos accomplissements jusqu’à présent sont le fruit d’une réflexion innovante, d’un travail acharné, d’une attention sans compromis sur la qualité et de notre maîtrise de l’impression flexographique. Quand j’ai commencé dans l’industrie, on travaillait avec des machines à quatre couleurs tout au plus et les plaques étaient en caoutchouc : pas de photopolymères à l’époque. »</w:t>
      </w:r>
    </w:p>
    <w:p w14:paraId="36BD2728" w14:textId="77777777" w:rsidR="009F6C63" w:rsidRDefault="009F6C63" w:rsidP="009D2C80">
      <w:pPr>
        <w:pStyle w:val="p1"/>
        <w:spacing w:line="360" w:lineRule="auto"/>
        <w:rPr>
          <w:sz w:val="22"/>
          <w:szCs w:val="22"/>
          <w:lang w:val="en-US"/>
        </w:rPr>
      </w:pPr>
    </w:p>
    <w:p w14:paraId="1193EE3E" w14:textId="77777777" w:rsidR="009F6C63" w:rsidRDefault="00410F0B" w:rsidP="009D2C80">
      <w:pPr>
        <w:pStyle w:val="p1"/>
        <w:spacing w:line="360" w:lineRule="auto"/>
      </w:pPr>
      <w:r>
        <w:rPr>
          <w:b/>
          <w:sz w:val="22"/>
        </w:rPr>
        <w:lastRenderedPageBreak/>
        <w:t>Rien que le meilleur</w:t>
      </w:r>
    </w:p>
    <w:p w14:paraId="732789A7" w14:textId="0987FC97" w:rsidR="009F6C63" w:rsidRDefault="00410F0B" w:rsidP="009D2C80">
      <w:pPr>
        <w:pStyle w:val="p1"/>
        <w:spacing w:line="360" w:lineRule="auto"/>
      </w:pPr>
      <w:r>
        <w:rPr>
          <w:sz w:val="22"/>
        </w:rPr>
        <w:t>« À travers Fleksograf studio prepress, je voulais m’adresser aux clients qui produisent des travaux de haute qualité et, pour cela, nous devions leur proposer les meilleures plaques disponibles en Pologne. Nous devions aussi fournir un excellent service à la clientèle, assuré par mon équipe exceptionnelle dès le premier jour. Nos clients nous choisissent pour deux raisons : notre expertise de l’impression flexo à grande laize, et parce que le pourcentage d’échecs de tirages avec les KODAK FLEXCEL NX Plates de Miraclon est si faible, seulement 1 % environ, que les bénéfices sont immenses pour la production. »</w:t>
      </w:r>
    </w:p>
    <w:p w14:paraId="4ED8B04C" w14:textId="77777777" w:rsidR="009F6C63" w:rsidRDefault="009F6C63" w:rsidP="009D2C80">
      <w:pPr>
        <w:pStyle w:val="p1"/>
        <w:spacing w:line="360" w:lineRule="auto"/>
        <w:rPr>
          <w:sz w:val="22"/>
          <w:szCs w:val="22"/>
          <w:lang w:val="en-US"/>
        </w:rPr>
      </w:pPr>
    </w:p>
    <w:p w14:paraId="69F02B59" w14:textId="74B31141" w:rsidR="009F6C63" w:rsidRDefault="00410F0B" w:rsidP="009D2C80">
      <w:pPr>
        <w:pStyle w:val="p1"/>
        <w:spacing w:line="360" w:lineRule="auto"/>
        <w:jc w:val="both"/>
      </w:pPr>
      <w:r>
        <w:rPr>
          <w:sz w:val="22"/>
        </w:rPr>
        <w:t>Pour que Fleksograf studio prepress puisse tenir sa promesse de qualité exceptionnelle, M. Malengowski s’est également montré très exigeant dans le choix des équipements de prépresse utilisés par son entreprise. « Notre approche est un peu différente », affirme-t-il. « Nous nous concentrons exclusivement sur les FLEXCEL NX et, plus récemment, les FLEXCEL NX Ultra Plates. Nous bénéficions d’une solution de fabrication de plaques presque parfaite, nous ne voyons donc aucune raison d’offrir autre chose aux clients. Car ces solutions, ainsi que notre connaissance et notre maîtrise de la flexo et des plaques FLEXCEL NX, sont des arguments importants pour nos clients. »</w:t>
      </w:r>
    </w:p>
    <w:p w14:paraId="3DBBEA12" w14:textId="77777777" w:rsidR="009F6C63" w:rsidRDefault="009F6C63" w:rsidP="009D2C80">
      <w:pPr>
        <w:pStyle w:val="p1"/>
        <w:spacing w:line="360" w:lineRule="auto"/>
        <w:jc w:val="both"/>
        <w:rPr>
          <w:sz w:val="22"/>
          <w:szCs w:val="22"/>
          <w:lang w:val="en-US"/>
        </w:rPr>
      </w:pPr>
    </w:p>
    <w:p w14:paraId="6D0F8E3A" w14:textId="6411F176" w:rsidR="009F6C63" w:rsidRDefault="007975BF" w:rsidP="009D2C80">
      <w:pPr>
        <w:pStyle w:val="p1"/>
        <w:spacing w:line="360" w:lineRule="auto"/>
        <w:jc w:val="both"/>
      </w:pPr>
      <w:r>
        <w:rPr>
          <w:sz w:val="22"/>
        </w:rPr>
        <w:t>Fleksograf studio prepress a d’abord investi dans le FLEXCEL NX System en 2010 en tant que technologie de remplacement unique qui offrait la qualité et la stabilité respectives des KODAK ThermoFlex et des technologies analogiques précédemment en place.</w:t>
      </w:r>
    </w:p>
    <w:p w14:paraId="08D0312C" w14:textId="77777777" w:rsidR="009F6C63" w:rsidRDefault="009F6C63" w:rsidP="009D2C80">
      <w:pPr>
        <w:pStyle w:val="p1"/>
        <w:spacing w:line="360" w:lineRule="auto"/>
        <w:jc w:val="both"/>
        <w:rPr>
          <w:sz w:val="22"/>
          <w:szCs w:val="22"/>
          <w:lang w:val="en-US"/>
        </w:rPr>
      </w:pPr>
    </w:p>
    <w:p w14:paraId="35FB2041" w14:textId="776978D9" w:rsidR="009F6C63" w:rsidRDefault="00410F0B" w:rsidP="009D2C80">
      <w:pPr>
        <w:pStyle w:val="p1"/>
        <w:spacing w:line="360" w:lineRule="auto"/>
      </w:pPr>
      <w:r>
        <w:rPr>
          <w:sz w:val="22"/>
        </w:rPr>
        <w:t>« À cette époque, j’avais déjà dix ans d’expérience dans l’impression flexographique », poursuit M. Malengowski. « Ainsi, lorsque j’ai réalisé que FLEXCEL NX associait la régularité des points à une qualité d’impression supérieure, j’ai compris que cette technologie révolutionnaire était la voie à suivre. La démarche était néanmoins assez risquée car, à l’époque, les plaques de laminage TIL étaient controversées sur le marché polonais de la flexo. Cependant, notre décision a été la bonne. Après de nombreuses années de domination du marché polonais par d’autres acteurs, nos clients ont finalement obtenu ce qu’ils attendaient : des plaques stables avec une authentique reproduction de points à sommet plat un à un, pour assurer une excellente qualité et une régularité au tirage. »</w:t>
      </w:r>
    </w:p>
    <w:p w14:paraId="7E112B16" w14:textId="77777777" w:rsidR="009F6C63" w:rsidRDefault="009F6C63" w:rsidP="009D2C80">
      <w:pPr>
        <w:pStyle w:val="p1"/>
        <w:spacing w:line="360" w:lineRule="auto"/>
        <w:rPr>
          <w:sz w:val="22"/>
          <w:szCs w:val="22"/>
          <w:lang w:val="en-US"/>
        </w:rPr>
      </w:pPr>
    </w:p>
    <w:p w14:paraId="73AEE426" w14:textId="77777777" w:rsidR="009F6C63" w:rsidRDefault="00410F0B" w:rsidP="009D2C80">
      <w:pPr>
        <w:pStyle w:val="p1"/>
        <w:spacing w:line="360" w:lineRule="auto"/>
      </w:pPr>
      <w:r>
        <w:rPr>
          <w:b/>
          <w:sz w:val="22"/>
        </w:rPr>
        <w:t>Le meilleur, encore amélioré</w:t>
      </w:r>
    </w:p>
    <w:p w14:paraId="17737B12" w14:textId="77777777" w:rsidR="009F6C63" w:rsidRDefault="00410F0B" w:rsidP="009D2C80">
      <w:pPr>
        <w:pStyle w:val="p1"/>
        <w:spacing w:line="360" w:lineRule="auto"/>
      </w:pPr>
      <w:r>
        <w:rPr>
          <w:sz w:val="22"/>
        </w:rPr>
        <w:t xml:space="preserve">Ayant connu un grand succès avec le FLEXCEL NX System, M. Malengowski ne pouvait pas manquer la présentation par la Flexographic Division de Kodak (désormais Miraclon, une société indépendante), au salon drupa 2016, d’une nouvelle solution de fabrication de </w:t>
      </w:r>
      <w:r>
        <w:rPr>
          <w:sz w:val="22"/>
        </w:rPr>
        <w:lastRenderedPageBreak/>
        <w:t>plaques qui assurerait les mêmes avantages de transformation que FLEXCEL NX, mais dans un environnement à grande vitesse, sans solvants ni COV.</w:t>
      </w:r>
    </w:p>
    <w:p w14:paraId="44451F5B" w14:textId="77777777" w:rsidR="009F6C63" w:rsidRDefault="009F6C63" w:rsidP="009D2C80">
      <w:pPr>
        <w:pStyle w:val="p1"/>
        <w:spacing w:line="360" w:lineRule="auto"/>
        <w:rPr>
          <w:sz w:val="22"/>
          <w:szCs w:val="22"/>
          <w:lang w:val="en-US"/>
        </w:rPr>
      </w:pPr>
    </w:p>
    <w:p w14:paraId="2AD0BA48" w14:textId="77777777" w:rsidR="009F6C63" w:rsidRDefault="00410F0B" w:rsidP="009D2C80">
      <w:pPr>
        <w:pStyle w:val="p1"/>
        <w:spacing w:line="360" w:lineRule="auto"/>
      </w:pPr>
      <w:r>
        <w:rPr>
          <w:sz w:val="22"/>
        </w:rPr>
        <w:t>« Dès le premier regard sur les imprimés », se souvient-il, « nous avons su qu’il s’agissait d’une solution universelle qui changerait la donne, parfaite à la fois pour l’impression sur films métallisés et sur carton. Et grâce à son procédé à base d’eau, sans COV, la solution répondait également à l’exigence de nos plans d’investissement, et à notre devise « Soyez écolos, choisissez l’eau », imposant un système respectueux de l’environnement. »</w:t>
      </w:r>
    </w:p>
    <w:p w14:paraId="248715EE" w14:textId="77777777" w:rsidR="009F6C63" w:rsidRDefault="009F6C63" w:rsidP="009D2C80">
      <w:pPr>
        <w:pStyle w:val="p1"/>
        <w:spacing w:line="360" w:lineRule="auto"/>
        <w:rPr>
          <w:sz w:val="22"/>
          <w:szCs w:val="22"/>
          <w:lang w:val="en-US"/>
        </w:rPr>
      </w:pPr>
    </w:p>
    <w:p w14:paraId="6D6100A8" w14:textId="7DA13A0C" w:rsidR="009F6C63" w:rsidRDefault="00410F0B" w:rsidP="009D2C80">
      <w:pPr>
        <w:pStyle w:val="p1"/>
        <w:spacing w:line="360" w:lineRule="auto"/>
      </w:pPr>
      <w:r>
        <w:rPr>
          <w:sz w:val="22"/>
        </w:rPr>
        <w:t>Sur cette base, les discussions ont débuté en 2018 pour l’installation d’un système bêta, qui « grâce à l’engagement de Grant Blewett et de Jacek Galiński », a été livré en 2019.</w:t>
      </w:r>
      <w:r>
        <w:rPr>
          <w:color w:val="000000" w:themeColor="text1"/>
          <w:sz w:val="22"/>
        </w:rPr>
        <w:t xml:space="preserve"> M. Malengowski se dit impressionné par les résultats : « les FLEXCEL NX Ultra Plates offrent les multiples avantages auxquels nos clients se sont habitués, notamment une excellente qualité d’impression, une stabilité et une régularité sur presse.</w:t>
      </w:r>
      <w:r>
        <w:rPr>
          <w:sz w:val="22"/>
        </w:rPr>
        <w:t xml:space="preserve"> En ce qui concerne la qualité, nous avons même un client qui utilise les FLEXCEL NX Ultra Plates pour imprimer 175 lpi ou même 200 lpi. Souvent, ils choisissent d’imprimer désormais certains travaux en flexo, au lieu de la gravure. »</w:t>
      </w:r>
    </w:p>
    <w:p w14:paraId="3D632BE3" w14:textId="77777777" w:rsidR="009F6C63" w:rsidRDefault="009F6C63" w:rsidP="009D2C80">
      <w:pPr>
        <w:pStyle w:val="p1"/>
        <w:spacing w:line="360" w:lineRule="auto"/>
        <w:rPr>
          <w:sz w:val="22"/>
          <w:szCs w:val="22"/>
          <w:lang w:val="en-US"/>
        </w:rPr>
      </w:pPr>
    </w:p>
    <w:p w14:paraId="20976AE0" w14:textId="09FEBB44" w:rsidR="009F6C63" w:rsidRDefault="00410F0B" w:rsidP="009D2C80">
      <w:pPr>
        <w:pStyle w:val="p1"/>
        <w:spacing w:line="360" w:lineRule="auto"/>
      </w:pPr>
      <w:r>
        <w:rPr>
          <w:sz w:val="22"/>
        </w:rPr>
        <w:t>« Il convient également de souligner que les points sont reproduits un à un, ce qui permet d’obtenir un épreuvage comparable et les résultats réels obtenus sur une presse flexographique. En utilisant les NX Ultra Plates, la densité optique de l’encre est plus élevée, donc la couleur est plus intense. Nos clients peuvent donc utiliser des encres à plus faible concentration de pigments, moins chères. Et les anilox emploient de l’encre sans transfert, également plus rentable. Je n’ai jamais rencontré de problèmes avec, par exemple, des clients qui commandent des plaques supplémentaires sur la base d’un ancien modèle. Ils les montent simplement sur la presse et reproduisent le travail harmonieusement.</w:t>
      </w:r>
    </w:p>
    <w:p w14:paraId="6BEBCAD2" w14:textId="77777777" w:rsidR="009F6C63" w:rsidRDefault="009F6C63" w:rsidP="009D2C80">
      <w:pPr>
        <w:pStyle w:val="p1"/>
        <w:spacing w:line="360" w:lineRule="auto"/>
        <w:rPr>
          <w:sz w:val="22"/>
          <w:szCs w:val="22"/>
          <w:lang w:val="en-US"/>
        </w:rPr>
      </w:pPr>
    </w:p>
    <w:p w14:paraId="4FD0C403" w14:textId="77777777" w:rsidR="009F6C63" w:rsidRDefault="00410F0B" w:rsidP="009D2C80">
      <w:pPr>
        <w:pStyle w:val="p1"/>
        <w:spacing w:line="360" w:lineRule="auto"/>
      </w:pPr>
      <w:r>
        <w:rPr>
          <w:sz w:val="22"/>
        </w:rPr>
        <w:t>« NX Ultra assure également un excellent transfert d’encre et les plaques n’ont pas besoin d’être lavées pendant un tirage. Les délais de production des plaques sont beaucoup plus courts avec NX Ultra, puisque 50 minutes seulement sont nécessaires entre le début du processus et le moment où la plaque est prête pour l’impression. »</w:t>
      </w:r>
    </w:p>
    <w:p w14:paraId="16FC8C52" w14:textId="77777777" w:rsidR="009F6C63" w:rsidRDefault="009F6C63" w:rsidP="009D2C80">
      <w:pPr>
        <w:pStyle w:val="p1"/>
        <w:spacing w:line="360" w:lineRule="auto"/>
        <w:rPr>
          <w:sz w:val="22"/>
          <w:szCs w:val="22"/>
          <w:lang w:val="en-US"/>
        </w:rPr>
      </w:pPr>
    </w:p>
    <w:p w14:paraId="719FE879" w14:textId="77777777" w:rsidR="009F6C63" w:rsidRDefault="00410F0B" w:rsidP="009D2C80">
      <w:pPr>
        <w:pStyle w:val="p1"/>
        <w:spacing w:line="360" w:lineRule="auto"/>
      </w:pPr>
      <w:r>
        <w:rPr>
          <w:sz w:val="22"/>
        </w:rPr>
        <w:t xml:space="preserve">Quant aux bénéfices écologiques de la FLEXCEL NX Ultra Solution, M. Malengowski estime que, si la pandémie a temporairement réduit l’importance accordée à l’environnement, l’attention portée à la préservation de la planète reviendra encore plus fortement qu’auparavant. « C’est pourquoi », dit-il, « nous nous concentrons sur les plaques lavables à l’eau pour mieux protéger l’environnement. Notre procédé à base d’eau </w:t>
      </w:r>
      <w:r>
        <w:rPr>
          <w:sz w:val="22"/>
        </w:rPr>
        <w:lastRenderedPageBreak/>
        <w:t>améliore l’environnement de travail de nos employés en éliminant les odeurs et les émissions de solvants. »</w:t>
      </w:r>
    </w:p>
    <w:p w14:paraId="1EA65D20" w14:textId="77777777" w:rsidR="009F6C63" w:rsidRDefault="009F6C63" w:rsidP="009D2C80">
      <w:pPr>
        <w:pStyle w:val="p1"/>
        <w:spacing w:line="360" w:lineRule="auto"/>
        <w:rPr>
          <w:sz w:val="22"/>
          <w:szCs w:val="22"/>
          <w:lang w:val="en-US"/>
        </w:rPr>
      </w:pPr>
    </w:p>
    <w:p w14:paraId="6F4F4F24" w14:textId="77777777" w:rsidR="009F6C63" w:rsidRDefault="00410F0B" w:rsidP="009D2C80">
      <w:pPr>
        <w:pStyle w:val="p1"/>
        <w:spacing w:line="360" w:lineRule="auto"/>
      </w:pPr>
      <w:r>
        <w:rPr>
          <w:b/>
          <w:sz w:val="22"/>
        </w:rPr>
        <w:t>Quand la qualité compte</w:t>
      </w:r>
    </w:p>
    <w:p w14:paraId="509C12F6" w14:textId="20BCCC89" w:rsidR="009F6C63" w:rsidRDefault="00410F0B" w:rsidP="009D2C80">
      <w:pPr>
        <w:pStyle w:val="p1"/>
        <w:spacing w:line="360" w:lineRule="auto"/>
      </w:pPr>
      <w:r>
        <w:rPr>
          <w:sz w:val="22"/>
        </w:rPr>
        <w:t>La pandémie ayant touché toutes les entreprises, Fleksograf studio prepress a également dû s’adapter, comme le fait remarquer M. Malengowski : « la situation a changé de manière assez significative. Au début, nous avons réussi à maintenir la continuité de notre activité, et nous avons pu travailler par roulement. Mais avec l’augmentation des cas de COVID-19, nous avons été obligés de trouver une autre solution et d’établir un système à travers une connexion spéciale avec notre serveur pour permettre aux personnes qui le peuvent de télétravailler. »</w:t>
      </w:r>
    </w:p>
    <w:p w14:paraId="0E903D03" w14:textId="77777777" w:rsidR="009F6C63" w:rsidRDefault="009F6C63" w:rsidP="009D2C80">
      <w:pPr>
        <w:pStyle w:val="p1"/>
        <w:spacing w:line="360" w:lineRule="auto"/>
        <w:rPr>
          <w:sz w:val="22"/>
          <w:szCs w:val="22"/>
          <w:lang w:val="en-US"/>
        </w:rPr>
      </w:pPr>
    </w:p>
    <w:p w14:paraId="4E81672B" w14:textId="30A68D29" w:rsidR="009F6C63" w:rsidRDefault="00410F0B" w:rsidP="009D2C80">
      <w:pPr>
        <w:pStyle w:val="p1"/>
        <w:spacing w:line="360" w:lineRule="auto"/>
      </w:pPr>
      <w:r>
        <w:rPr>
          <w:sz w:val="22"/>
        </w:rPr>
        <w:t>Néanmoins, il reste optimiste quant à l’avenir de Fleksograf studio prepress. « Comme jusqu’à présent, assurer des services de qualité supérieure est ce qui nous motive dès le premier contact avec un client. Notre objectif le plus important est de faire en sorte que nos clients soient satisfaits non seulement de nos produits, mais aussi de notre engagement et de notre soutien. Pour cela, à travers notre utilisation continue de FLEXCEL NX et FLEXCEL NX Ultra, nous continuerons à nous concentrer sur la mise en place de processus aussi respectueux de l’environnement que possible dans la production des plaques flexo et dans tous les contacts avec nos clients. Nous nous attacherons également à rendre le télétravail encore plus efficace pour l’entreprise, tant par la création de filiales étrangères de Fleksograf studio prepress qu’à travers la coopération avec d’autres sociétés sur Internet. Et ce faisant, nous continuerons à démontrer à nos clients que lorsque l’on recherche le meilleur, la qualité compte vraiment. »</w:t>
      </w:r>
    </w:p>
    <w:p w14:paraId="555FB69C" w14:textId="77777777" w:rsidR="009F6C63" w:rsidRDefault="009F6C63" w:rsidP="009D2C80">
      <w:pPr>
        <w:pStyle w:val="p1"/>
        <w:spacing w:line="360" w:lineRule="auto"/>
        <w:rPr>
          <w:sz w:val="22"/>
          <w:szCs w:val="22"/>
          <w:lang w:val="en-US"/>
        </w:rPr>
      </w:pPr>
    </w:p>
    <w:p w14:paraId="53ED5E48" w14:textId="77777777" w:rsidR="009F6C63" w:rsidRDefault="00410F0B" w:rsidP="009D2C80">
      <w:pPr>
        <w:pStyle w:val="p1"/>
        <w:spacing w:line="360" w:lineRule="auto"/>
        <w:jc w:val="center"/>
      </w:pPr>
      <w:r>
        <w:rPr>
          <w:b/>
          <w:sz w:val="22"/>
        </w:rPr>
        <w:t>FIN</w:t>
      </w:r>
    </w:p>
    <w:p w14:paraId="5446C14D" w14:textId="111815B9" w:rsidR="009F6C63" w:rsidRDefault="009F6C63" w:rsidP="009D2C80">
      <w:pPr>
        <w:pStyle w:val="p1"/>
        <w:spacing w:line="360" w:lineRule="auto"/>
        <w:jc w:val="center"/>
      </w:pPr>
    </w:p>
    <w:p w14:paraId="7484FB03" w14:textId="77777777" w:rsidR="009D2C80" w:rsidRPr="00691CFE" w:rsidRDefault="009D2C80" w:rsidP="009D2C80">
      <w:pPr>
        <w:rPr>
          <w:rFonts w:ascii="Arial" w:hAnsi="Arial" w:cs="Arial"/>
          <w:sz w:val="22"/>
          <w:szCs w:val="22"/>
        </w:rPr>
      </w:pPr>
    </w:p>
    <w:p w14:paraId="2C9E8C1D" w14:textId="77777777" w:rsidR="009D2C80" w:rsidRPr="00691CFE" w:rsidRDefault="009D2C80" w:rsidP="009D2C80">
      <w:pPr>
        <w:tabs>
          <w:tab w:val="left" w:pos="360"/>
          <w:tab w:val="right" w:pos="9360"/>
        </w:tabs>
        <w:rPr>
          <w:rFonts w:ascii="Arial" w:hAnsi="Arial" w:cs="Arial"/>
          <w:b/>
          <w:bCs/>
          <w:sz w:val="18"/>
          <w:szCs w:val="18"/>
        </w:rPr>
      </w:pPr>
      <w:r>
        <w:rPr>
          <w:rFonts w:ascii="Arial" w:hAnsi="Arial"/>
          <w:b/>
          <w:sz w:val="18"/>
        </w:rPr>
        <w:t>À propos de Miraclon</w:t>
      </w:r>
    </w:p>
    <w:p w14:paraId="59720F46" w14:textId="77777777" w:rsidR="009D2C80" w:rsidRPr="00691CFE" w:rsidRDefault="009D2C80" w:rsidP="009D2C80">
      <w:pPr>
        <w:rPr>
          <w:rFonts w:ascii="Arial" w:hAnsi="Arial" w:cs="Arial"/>
          <w:sz w:val="18"/>
          <w:szCs w:val="18"/>
        </w:rPr>
      </w:pPr>
      <w:r>
        <w:rPr>
          <w:rFonts w:ascii="Arial" w:hAnsi="Arial"/>
          <w:sz w:val="18"/>
        </w:rPr>
        <w:t xml:space="preserve">Les KODAK FLEXCEL Solutions contribuent depuis plus de dix ans à transformer l’impression flexographique.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07C0C900" w14:textId="77777777" w:rsidR="009D2C80" w:rsidRPr="00691CFE" w:rsidRDefault="009D2C80" w:rsidP="009D2C80">
      <w:pPr>
        <w:rPr>
          <w:rFonts w:ascii="Arial" w:hAnsi="Arial" w:cs="Arial"/>
          <w:sz w:val="18"/>
          <w:szCs w:val="18"/>
        </w:rPr>
      </w:pPr>
      <w:r>
        <w:rPr>
          <w:rFonts w:ascii="Arial" w:hAnsi="Arial"/>
          <w:sz w:val="18"/>
        </w:rPr>
        <w:t xml:space="preserve">Pour en savoir plus, visitez </w:t>
      </w:r>
      <w:hyperlink r:id="rId13" w:history="1">
        <w:r>
          <w:rPr>
            <w:rStyle w:val="Hyperlink"/>
            <w:rFonts w:ascii="Arial" w:hAnsi="Arial"/>
            <w:sz w:val="18"/>
          </w:rPr>
          <w:t>www.miraclon.com</w:t>
        </w:r>
      </w:hyperlink>
      <w:r>
        <w:rPr>
          <w:rFonts w:ascii="Arial" w:hAnsi="Arial"/>
          <w:sz w:val="18"/>
        </w:rPr>
        <w:t xml:space="preserve">.  Suivez-nous sur Twitter </w:t>
      </w:r>
      <w:hyperlink r:id="rId14" w:history="1">
        <w:r>
          <w:rPr>
            <w:rStyle w:val="Hyperlink"/>
            <w:rFonts w:ascii="Arial" w:hAnsi="Arial"/>
            <w:color w:val="4472C4" w:themeColor="accent1"/>
            <w:sz w:val="18"/>
          </w:rPr>
          <w:t>@kodakflexcel</w:t>
        </w:r>
      </w:hyperlink>
      <w:r>
        <w:rPr>
          <w:rFonts w:ascii="Arial" w:hAnsi="Arial"/>
          <w:sz w:val="18"/>
        </w:rPr>
        <w:t xml:space="preserve"> et connectez-vous à notre compte </w:t>
      </w:r>
      <w:hyperlink r:id="rId15" w:history="1">
        <w:r>
          <w:rPr>
            <w:rStyle w:val="Hyperlink"/>
            <w:rFonts w:ascii="Arial" w:hAnsi="Arial"/>
            <w:sz w:val="18"/>
          </w:rPr>
          <w:t>Miraclon Corporation</w:t>
        </w:r>
      </w:hyperlink>
      <w:r>
        <w:rPr>
          <w:rFonts w:ascii="Arial" w:hAnsi="Arial"/>
          <w:sz w:val="18"/>
        </w:rPr>
        <w:t xml:space="preserve">. </w:t>
      </w:r>
    </w:p>
    <w:p w14:paraId="09EBACF1" w14:textId="77777777" w:rsidR="009D2C80" w:rsidRPr="00F60CB8" w:rsidRDefault="009D2C80" w:rsidP="009D2C80">
      <w:pPr>
        <w:rPr>
          <w:rFonts w:cstheme="minorHAnsi"/>
        </w:rPr>
      </w:pPr>
    </w:p>
    <w:p w14:paraId="315645E9" w14:textId="77777777" w:rsidR="009D2C80" w:rsidRPr="00CB59FA" w:rsidRDefault="009D2C80" w:rsidP="009D2C80"/>
    <w:p w14:paraId="64061C38" w14:textId="089CBD12" w:rsidR="009D2C80" w:rsidRDefault="009D2C80" w:rsidP="009D2C80">
      <w:pPr>
        <w:pStyle w:val="p1"/>
        <w:spacing w:line="360" w:lineRule="auto"/>
        <w:jc w:val="center"/>
      </w:pPr>
    </w:p>
    <w:sectPr w:rsidR="009D2C80"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6AC7" w14:textId="77777777" w:rsidR="00AC1D1A" w:rsidRDefault="00AC1D1A">
      <w:r>
        <w:separator/>
      </w:r>
    </w:p>
  </w:endnote>
  <w:endnote w:type="continuationSeparator" w:id="0">
    <w:p w14:paraId="383E8C5E" w14:textId="77777777" w:rsidR="00AC1D1A" w:rsidRDefault="00AC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62C5" w14:textId="77777777" w:rsidR="00AC1D1A" w:rsidRDefault="00AC1D1A">
      <w:r>
        <w:rPr>
          <w:color w:val="000000"/>
        </w:rPr>
        <w:separator/>
      </w:r>
    </w:p>
  </w:footnote>
  <w:footnote w:type="continuationSeparator" w:id="0">
    <w:p w14:paraId="3EDF7AF9" w14:textId="77777777" w:rsidR="00AC1D1A" w:rsidRDefault="00AC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gUADre8dCwAAAA="/>
  </w:docVars>
  <w:rsids>
    <w:rsidRoot w:val="009F6C63"/>
    <w:rsid w:val="00122615"/>
    <w:rsid w:val="001873C4"/>
    <w:rsid w:val="001E04C4"/>
    <w:rsid w:val="002E2ABE"/>
    <w:rsid w:val="00410F0B"/>
    <w:rsid w:val="00440F28"/>
    <w:rsid w:val="00506882"/>
    <w:rsid w:val="0054327A"/>
    <w:rsid w:val="00622015"/>
    <w:rsid w:val="006918C4"/>
    <w:rsid w:val="00747F66"/>
    <w:rsid w:val="007975BF"/>
    <w:rsid w:val="007A4EB8"/>
    <w:rsid w:val="00884D3E"/>
    <w:rsid w:val="009D2C80"/>
    <w:rsid w:val="009F6C63"/>
    <w:rsid w:val="00A44F45"/>
    <w:rsid w:val="00A55531"/>
    <w:rsid w:val="00AC1D1A"/>
    <w:rsid w:val="00B804C8"/>
    <w:rsid w:val="00BD5C6A"/>
    <w:rsid w:val="00BF18C8"/>
    <w:rsid w:val="00C87C2B"/>
    <w:rsid w:val="00EB7A1B"/>
    <w:rsid w:val="00F5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90B40-9F90-409B-8E2D-468DD09D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F1AC6-AF71-46FD-A877-3C8FC6E29E79}">
  <ds:schemaRefs>
    <ds:schemaRef ds:uri="http://schemas.microsoft.com/sharepoint/v3/contenttype/forms"/>
  </ds:schemaRefs>
</ds:datastoreItem>
</file>

<file path=customXml/itemProps3.xml><?xml version="1.0" encoding="utf-8"?>
<ds:datastoreItem xmlns:ds="http://schemas.openxmlformats.org/officeDocument/2006/customXml" ds:itemID="{97A41013-BE56-4DC5-90F8-1845A9B355B3}">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9261f8a4-6d62-4efc-93fb-4a2d36e8ea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2021-01-15T14:55:00Z</dcterms:created>
  <dcterms:modified xsi:type="dcterms:W3CDTF">2021-02-03T09:06:00Z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