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8D839" w14:textId="098F219E" w:rsidR="009F6C63" w:rsidRPr="00A639C1" w:rsidRDefault="00410F0B" w:rsidP="00E512C0">
      <w:pPr>
        <w:pStyle w:val="p1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9729C50" wp14:editId="5C603C8F">
            <wp:simplePos x="0" y="0"/>
            <wp:positionH relativeFrom="column">
              <wp:posOffset>4046220</wp:posOffset>
            </wp:positionH>
            <wp:positionV relativeFrom="page">
              <wp:posOffset>0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2776B1" w14:textId="77777777" w:rsidR="00E512C0" w:rsidRDefault="00E512C0" w:rsidP="00E512C0">
      <w:pPr>
        <w:pStyle w:val="p1"/>
        <w:rPr>
          <w:b/>
          <w:sz w:val="20"/>
        </w:rPr>
      </w:pPr>
    </w:p>
    <w:p w14:paraId="12CBB8A9" w14:textId="2FAC1ED4" w:rsidR="009F6C63" w:rsidRPr="00A639C1" w:rsidRDefault="00370FE2" w:rsidP="00E512C0">
      <w:pPr>
        <w:pStyle w:val="p1"/>
      </w:pPr>
      <w:r>
        <w:rPr>
          <w:b/>
          <w:sz w:val="20"/>
        </w:rPr>
        <w:t>Informacja prasowa</w:t>
      </w:r>
    </w:p>
    <w:p w14:paraId="2C77D67B" w14:textId="64A25D98" w:rsidR="009F6C63" w:rsidRPr="00A639C1" w:rsidRDefault="009F6C63" w:rsidP="00E512C0">
      <w:pPr>
        <w:pStyle w:val="Standard1"/>
        <w:rPr>
          <w:rFonts w:ascii="Arial" w:hAnsi="Arial" w:cs="Arial"/>
          <w:szCs w:val="20"/>
          <w:lang w:val="en-GB"/>
        </w:rPr>
      </w:pPr>
    </w:p>
    <w:p w14:paraId="673D2472" w14:textId="77777777" w:rsidR="00E512C0" w:rsidRPr="00A639C1" w:rsidRDefault="00E512C0" w:rsidP="00E512C0">
      <w:pPr>
        <w:pStyle w:val="Standard1"/>
        <w:rPr>
          <w:rFonts w:ascii="Arial" w:hAnsi="Arial" w:cs="Arial"/>
          <w:szCs w:val="20"/>
          <w:lang w:val="en-GB"/>
        </w:rPr>
      </w:pPr>
    </w:p>
    <w:p w14:paraId="0C6BF12C" w14:textId="7F39F62C" w:rsidR="009F6C63" w:rsidRPr="00A639C1" w:rsidRDefault="00C94331" w:rsidP="00E512C0">
      <w:pPr>
        <w:pStyle w:val="Standard1"/>
        <w:rPr>
          <w:rFonts w:ascii="Arial" w:hAnsi="Arial" w:cs="Arial"/>
          <w:szCs w:val="20"/>
        </w:rPr>
      </w:pPr>
      <w:r>
        <w:rPr>
          <w:rFonts w:ascii="Arial" w:hAnsi="Arial"/>
        </w:rPr>
        <w:t>Kontakt dla mediów:</w:t>
      </w:r>
    </w:p>
    <w:p w14:paraId="17B57D3D" w14:textId="77777777" w:rsidR="007E68AC" w:rsidRPr="00E512C0" w:rsidRDefault="007E68AC" w:rsidP="007E68AC">
      <w:pPr>
        <w:pStyle w:val="Standard1"/>
        <w:rPr>
          <w:rFonts w:ascii="Arial" w:hAnsi="Arial"/>
          <w:bCs/>
        </w:rPr>
      </w:pPr>
      <w:r>
        <w:rPr>
          <w:rFonts w:ascii="Arial" w:hAnsi="Arial"/>
        </w:rPr>
        <w:t xml:space="preserve">Miraclon: </w:t>
      </w:r>
      <w:r>
        <w:rPr>
          <w:rFonts w:ascii="Arial" w:hAnsi="Arial"/>
          <w:color w:val="000000"/>
        </w:rPr>
        <w:t xml:space="preserve">Elni Van Rensburg – +1 830 317 0950 – </w:t>
      </w:r>
      <w:hyperlink r:id="rId12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br/>
        <w:t xml:space="preserve">AD Communications: Imogen Woods - +44 (0) 1372 464 470 – </w:t>
      </w:r>
      <w:hyperlink r:id="rId13" w:history="1">
        <w:r w:rsidRPr="00254BBC">
          <w:rPr>
            <w:rStyle w:val="Hyperlink"/>
            <w:rFonts w:ascii="Arial" w:hAnsi="Arial"/>
          </w:rPr>
          <w:t>iwoods@adcomms.co.uk</w:t>
        </w:r>
      </w:hyperlink>
      <w:r>
        <w:rPr>
          <w:rFonts w:ascii="Arial" w:hAnsi="Arial"/>
          <w:color w:val="000000"/>
        </w:rPr>
        <w:t xml:space="preserve"> </w:t>
      </w:r>
    </w:p>
    <w:p w14:paraId="1E82EE30" w14:textId="77777777" w:rsidR="00E512C0" w:rsidRPr="00E512C0" w:rsidRDefault="00E512C0" w:rsidP="00E512C0">
      <w:pPr>
        <w:pStyle w:val="Standard1"/>
        <w:rPr>
          <w:rFonts w:ascii="Arial" w:hAnsi="Arial" w:cs="Arial"/>
          <w:color w:val="000000"/>
          <w:szCs w:val="20"/>
          <w:lang w:val="en-GB"/>
        </w:rPr>
      </w:pPr>
    </w:p>
    <w:p w14:paraId="1A6CFDC0" w14:textId="77777777" w:rsidR="00E512C0" w:rsidRPr="00E512C0" w:rsidRDefault="00E512C0" w:rsidP="00E512C0">
      <w:pPr>
        <w:rPr>
          <w:rFonts w:ascii="Arial" w:hAnsi="Arial"/>
          <w:bCs/>
        </w:rPr>
      </w:pPr>
      <w:r>
        <w:rPr>
          <w:rFonts w:ascii="Arial" w:hAnsi="Arial"/>
        </w:rPr>
        <w:t>23 marca 2021 r.</w:t>
      </w:r>
    </w:p>
    <w:p w14:paraId="24B20266" w14:textId="759619E9" w:rsidR="00E97E76" w:rsidRPr="00E512C0" w:rsidRDefault="00E97E76" w:rsidP="00E512C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</w:rPr>
        <w:br/>
      </w:r>
      <w:r>
        <w:rPr>
          <w:rFonts w:ascii="Arial" w:hAnsi="Arial"/>
          <w:b/>
          <w:sz w:val="26"/>
        </w:rPr>
        <w:t>Nägele Digital Repro robi kolejny krok, aby napędzać transformację branży flexo, wybierając KODAK FLEXCEL NX Ultra Solution od Miraclon</w:t>
      </w:r>
    </w:p>
    <w:p w14:paraId="5C12DC25" w14:textId="77777777" w:rsidR="00E97E76" w:rsidRPr="00E512C0" w:rsidRDefault="00E97E76" w:rsidP="00E97E76">
      <w:pPr>
        <w:spacing w:line="360" w:lineRule="auto"/>
        <w:rPr>
          <w:rFonts w:ascii="Arial" w:hAnsi="Arial" w:cs="Arial"/>
          <w:lang w:val="en-GB"/>
        </w:rPr>
      </w:pPr>
    </w:p>
    <w:p w14:paraId="5A945028" w14:textId="040EE9C2" w:rsidR="00E97E76" w:rsidRPr="00E512C0" w:rsidRDefault="006B7E71" w:rsidP="00C73F1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Firma Nägele Digital Repro GmbH, zlokalizowana w Kempten, u podnóża Alp na południowym krańcu Niemiec, poszerzyła gamę oferowanych rozwiązań KODAK FLEXCEL Solutions, dodając </w:t>
      </w:r>
      <w:r>
        <w:rPr>
          <w:rFonts w:ascii="Arial" w:hAnsi="Arial"/>
          <w:color w:val="000000"/>
          <w:shd w:val="clear" w:color="auto" w:fill="FFFFFF"/>
        </w:rPr>
        <w:t>KODAK FLEXCEL NX Ultra Solution</w:t>
      </w:r>
      <w:r>
        <w:rPr>
          <w:rFonts w:ascii="Arial" w:hAnsi="Arial"/>
        </w:rPr>
        <w:t xml:space="preserve"> od Miraclon do posiadanych dwóch systemów KODAK FLEXCEL NX Wide Systems. </w:t>
      </w:r>
      <w:r>
        <w:rPr>
          <w:rFonts w:ascii="Arial" w:hAnsi="Arial"/>
          <w:color w:val="000000"/>
          <w:shd w:val="clear" w:color="auto" w:fill="FFFFFF"/>
        </w:rPr>
        <w:t xml:space="preserve">Jako pionier technologii FLEXCEL NX w Niemczech, firma produkuje płyty do bardzo wymagającego druku opakowań, wykorzystując </w:t>
      </w:r>
      <w:r>
        <w:rPr>
          <w:rFonts w:ascii="Arial" w:hAnsi="Arial"/>
        </w:rPr>
        <w:t>FLEXCEL NX Solutions</w:t>
      </w:r>
      <w:r>
        <w:rPr>
          <w:rFonts w:ascii="Arial" w:hAnsi="Arial"/>
          <w:color w:val="000000"/>
          <w:shd w:val="clear" w:color="auto" w:fill="FFFFFF"/>
        </w:rPr>
        <w:t xml:space="preserve"> od 2010 roku</w:t>
      </w:r>
      <w:r>
        <w:rPr>
          <w:rFonts w:ascii="Arial" w:hAnsi="Arial"/>
        </w:rPr>
        <w:t>.</w:t>
      </w:r>
    </w:p>
    <w:p w14:paraId="1DA25B84" w14:textId="77777777" w:rsidR="00C73F1A" w:rsidRPr="00E512C0" w:rsidRDefault="00C73F1A" w:rsidP="007D1C1E">
      <w:pPr>
        <w:spacing w:line="360" w:lineRule="auto"/>
        <w:rPr>
          <w:rFonts w:ascii="Arial" w:hAnsi="Arial" w:cs="Arial"/>
          <w:lang w:val="en-GB"/>
        </w:rPr>
      </w:pPr>
    </w:p>
    <w:p w14:paraId="5D108606" w14:textId="499E6985" w:rsidR="00292376" w:rsidRPr="00E512C0" w:rsidRDefault="002D2176" w:rsidP="00C73F1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Dziś formy drukowe FLEXCEL NX stanowią niemal 90 procent wszystkich płyt fotopolimerowych wytwarzanych przez Nägele. Płyty te trafiają głównie do klientów zajmujących się produkcją opakowań giętkich do żywności i kosmetyków. Dla dyrektora zarządzającego Michaela Nägele inwestycja w system FLEXCEL NX Ultra była logicznym kolejnym krokiem: „Poszerzając naszą ofertę o system FLEXCEL NX Ultra, zyskaliśmy bezrozpuszczalnikową alternatywę dla obróbki płyt, dzięki czemu klienci mogą wybierać płyty poddawane obróbce wodnej, przy zachowaniu wszystkich korzyści związanych z jakością i wydajnością, z jakich słynie technologia FLEXCEL NX Plate”.</w:t>
      </w:r>
    </w:p>
    <w:p w14:paraId="5FFC3A6C" w14:textId="77777777" w:rsidR="00C73F1A" w:rsidRPr="00E512C0" w:rsidRDefault="00C73F1A" w:rsidP="007D1C1E">
      <w:pPr>
        <w:spacing w:line="360" w:lineRule="auto"/>
        <w:rPr>
          <w:rFonts w:ascii="Arial" w:hAnsi="Arial" w:cs="Arial"/>
          <w:lang w:val="en-GB"/>
        </w:rPr>
      </w:pPr>
    </w:p>
    <w:p w14:paraId="2EED0902" w14:textId="48DF7ACC" w:rsidR="00923EF4" w:rsidRPr="00E512C0" w:rsidRDefault="00923EF4" w:rsidP="00C73F1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Według Nägele jedną z kluczowych zalet systemu FLEXCEL NX Ultra, która stanowi dużą różnicę dla klientów, jest krótszy, zajmujący znaczniej mniej niż godzinę czas produkcji płyt: „Oczywiście szybkość zawsze jest zaletą. W pewnych sytuacjach mogłaby być dla nas dużym atutem, na przykład, gdyby płyta uległa uszkodzeniu w czasie montażu w drukarni i wymagała natychmiastowej wymiany”.</w:t>
      </w:r>
    </w:p>
    <w:p w14:paraId="2B6773D5" w14:textId="77777777" w:rsidR="00C73F1A" w:rsidRPr="00E512C0" w:rsidRDefault="00C73F1A" w:rsidP="007D1C1E">
      <w:pPr>
        <w:spacing w:line="360" w:lineRule="auto"/>
        <w:rPr>
          <w:rFonts w:ascii="Arial" w:hAnsi="Arial" w:cs="Arial"/>
          <w:lang w:val="en-GB"/>
        </w:rPr>
      </w:pPr>
    </w:p>
    <w:p w14:paraId="52EBF283" w14:textId="7A014FAB" w:rsidR="00EE6596" w:rsidRPr="00E512C0" w:rsidRDefault="00EE6596" w:rsidP="00C73F1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Ponieważ nowe rozwiązanie bazuje na infrastrukturze technicznej systemu </w:t>
      </w:r>
      <w:r>
        <w:rPr>
          <w:rFonts w:ascii="Arial" w:hAnsi="Arial"/>
          <w:color w:val="000000"/>
          <w:shd w:val="clear" w:color="auto" w:fill="FFFFFF"/>
        </w:rPr>
        <w:t xml:space="preserve">FLEXCEL NX System, Nägele po prostu musiał zainstalować procesor </w:t>
      </w:r>
      <w:r>
        <w:rPr>
          <w:rFonts w:ascii="Arial" w:hAnsi="Arial"/>
        </w:rPr>
        <w:t xml:space="preserve">FLEXCEL NX Ultra, </w:t>
      </w:r>
      <w:r>
        <w:rPr>
          <w:rFonts w:ascii="Arial" w:hAnsi="Arial"/>
          <w:color w:val="000000"/>
          <w:shd w:val="clear" w:color="auto" w:fill="FFFFFF"/>
        </w:rPr>
        <w:t xml:space="preserve">aby wytwarzać płyty </w:t>
      </w:r>
      <w:r>
        <w:rPr>
          <w:rFonts w:ascii="Arial" w:hAnsi="Arial"/>
        </w:rPr>
        <w:t>FLEXCEL NX Ultra Plates w wolnym od LZO procesie wymywania wodą. „System FLEXCEL NX Ultra pomaga nam zmniejszyć zużycie rozpuszczalników, w związku z czym rzadko musimy uruchamiać system ich odzysku, który jest bardzo energochłonny. To w dużym stopniu sprawia, że nasz proces produkcyjny staje się bardziej przyjazny dla środowiska” — wyjaśnia Nägele.</w:t>
      </w:r>
    </w:p>
    <w:p w14:paraId="5A3AC15E" w14:textId="77777777" w:rsidR="00C73F1A" w:rsidRPr="00E512C0" w:rsidRDefault="00C73F1A" w:rsidP="007D1C1E">
      <w:pPr>
        <w:spacing w:line="360" w:lineRule="auto"/>
        <w:rPr>
          <w:rFonts w:ascii="Arial" w:hAnsi="Arial" w:cs="Arial"/>
          <w:lang w:val="en-GB"/>
        </w:rPr>
      </w:pPr>
    </w:p>
    <w:p w14:paraId="0BEEFFF8" w14:textId="3D3584DA" w:rsidR="00AE1D6E" w:rsidRPr="00E512C0" w:rsidRDefault="00B948D0" w:rsidP="00C73F1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Wstępne opinie od drukarzy potwierdzają, że płyty FLEXCEL NX Ultra Plates sprawdzają się w maszynach, oferując doskonałą precyzję przenoszenia farby – dzięki technologii punktów </w:t>
      </w:r>
      <w:r>
        <w:rPr>
          <w:rFonts w:ascii="Arial" w:hAnsi="Arial"/>
        </w:rPr>
        <w:lastRenderedPageBreak/>
        <w:t>o spłaszczonym wierzchołku połączonej z opcjami zaawansowanego patterningu płyt – oraz znacznie dłuższe przebiegi przed koniecznością czyszczenia płyt. „Płyty FLEXCEL NX Ultra Plates zapewniają też wyjątkową dokładność rejestrowania” — mówi. „W przypadku siedmiokolorowego druku ECG ma to zasadnicze znaczenie”.</w:t>
      </w:r>
    </w:p>
    <w:p w14:paraId="1B0CA48A" w14:textId="63F44F74" w:rsidR="00C73F1A" w:rsidRPr="00E512C0" w:rsidRDefault="00C73F1A" w:rsidP="007D1C1E">
      <w:pPr>
        <w:spacing w:line="360" w:lineRule="auto"/>
        <w:rPr>
          <w:rFonts w:ascii="Arial" w:hAnsi="Arial" w:cs="Arial"/>
          <w:lang w:val="en-GB"/>
        </w:rPr>
      </w:pPr>
    </w:p>
    <w:p w14:paraId="2E98FD98" w14:textId="58401E96" w:rsidR="00234162" w:rsidRPr="00E512C0" w:rsidRDefault="00234162" w:rsidP="007D1C1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Nägele podsumowuje: „W wyścigu o to, kto wprowadzi technologię FLEXCEL NX Ultra na niemiecki rynek, zależało nam na tym, aby ponownie znaleźć się w czołówce. Dzięki firmie Miraclon możemy teraz wykonać kolejny krok i nadal napędzać transformację branży flexo”.</w:t>
      </w:r>
    </w:p>
    <w:p w14:paraId="4F961B21" w14:textId="77777777" w:rsidR="00234162" w:rsidRPr="00E512C0" w:rsidRDefault="00234162" w:rsidP="007D1C1E">
      <w:pPr>
        <w:spacing w:line="360" w:lineRule="auto"/>
        <w:rPr>
          <w:rFonts w:ascii="Arial" w:hAnsi="Arial" w:cs="Arial"/>
          <w:lang w:val="en-GB"/>
        </w:rPr>
      </w:pPr>
    </w:p>
    <w:p w14:paraId="354AF395" w14:textId="1FC68B31" w:rsidR="00EE6596" w:rsidRPr="00E512C0" w:rsidRDefault="00E166DA" w:rsidP="007D1C1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Innowacyjny i niezawodny partner drukarni opakowań</w:t>
      </w:r>
    </w:p>
    <w:p w14:paraId="69B203F1" w14:textId="1666A723" w:rsidR="00E97E76" w:rsidRPr="00E512C0" w:rsidRDefault="0099479A" w:rsidP="007D1C1E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/>
        </w:rPr>
        <w:t>Firma Nägele Digital Repro GmbH, założona w 1975 roku przez Manfreda Nägele, który po dziś dzień jest jej właścicielem, rozwijała się przez lata, aby zostać szanowanym, ponadregionalnym dostawcą usług przygotowania do druku i produkcji form drukowych dla branży opakowań. Ta firma rodzinna, która zatrudnia 15 osób, postrzega się jako partnera drukarni opakowań, obsługując głównie klientów w południowych Niemczech, a także w sąsiednich regionach w Szwajcarii i Austrii. Są też w stanie w krótkim czasie dostarczać tuleje i płyty fleksograficzne do drukarni we Frankfurcie, Hamburgu, a nawet w Polsce. Poza produkcją fotopolimerowych i elastomerowych płyt fleksograficznych i tulei, Nägele przygotowuje także dane do cyfrowego druku opakowań. Park maszynowy firmy jest starannie i strategicznie planowany, aby zapewnić jak najwyższy poziom niezawodności dostaw, a dwa systemy FLEXCEL NX Wide Systems idealnie wpasowują się w tę strategię</w:t>
      </w:r>
      <w:r>
        <w:rPr>
          <w:rFonts w:ascii="Arial" w:hAnsi="Arial"/>
          <w:color w:val="000000"/>
          <w:shd w:val="clear" w:color="auto" w:fill="FFFFFF"/>
        </w:rPr>
        <w:t>.</w:t>
      </w:r>
      <w:r>
        <w:rPr>
          <w:rFonts w:ascii="Arial" w:hAnsi="Arial"/>
          <w:color w:val="000000"/>
          <w:shd w:val="clear" w:color="auto" w:fill="FFFFFF"/>
        </w:rPr>
        <w:br/>
      </w:r>
    </w:p>
    <w:p w14:paraId="6A8A35F5" w14:textId="6A6BC83E" w:rsidR="00E97E76" w:rsidRPr="00E512C0" w:rsidRDefault="00E97E76" w:rsidP="00392C2F">
      <w:pPr>
        <w:spacing w:line="360" w:lineRule="auto"/>
        <w:jc w:val="center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KONIEC</w:t>
      </w:r>
    </w:p>
    <w:p w14:paraId="17D57955" w14:textId="77777777" w:rsidR="0099479A" w:rsidRPr="00E512C0" w:rsidRDefault="0099479A" w:rsidP="00392C2F">
      <w:pPr>
        <w:spacing w:line="360" w:lineRule="auto"/>
        <w:jc w:val="center"/>
        <w:rPr>
          <w:rFonts w:ascii="Arial" w:hAnsi="Arial"/>
          <w:color w:val="000000"/>
          <w:shd w:val="clear" w:color="auto" w:fill="FFFFFF"/>
          <w:lang w:val="en-GB"/>
        </w:rPr>
      </w:pPr>
    </w:p>
    <w:p w14:paraId="3B305121" w14:textId="77777777" w:rsidR="0099479A" w:rsidRPr="00E512C0" w:rsidRDefault="0099479A" w:rsidP="0099479A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/>
          <w:b/>
          <w:color w:val="000000"/>
          <w:shd w:val="clear" w:color="auto" w:fill="FFFFFF"/>
        </w:rPr>
        <w:t>Podpis:</w:t>
      </w:r>
      <w:r>
        <w:rPr>
          <w:rFonts w:ascii="Arial" w:hAnsi="Arial"/>
          <w:b/>
          <w:color w:val="000000"/>
          <w:shd w:val="clear" w:color="auto" w:fill="FFFFFF"/>
        </w:rPr>
        <w:br/>
      </w:r>
      <w:r>
        <w:rPr>
          <w:rFonts w:ascii="Arial" w:hAnsi="Arial"/>
          <w:color w:val="000000"/>
          <w:shd w:val="clear" w:color="auto" w:fill="FFFFFF"/>
        </w:rPr>
        <w:t xml:space="preserve">Rodzeństwo Michael i Claudia Nägele, dyrektorzy zarządzający (po lewej), z kierownikiem produkcji Wernerem Rostem (po prawej) obok dopiero co uruchomionego procesora KODAK </w:t>
      </w:r>
      <w:r>
        <w:rPr>
          <w:rFonts w:ascii="Arial" w:hAnsi="Arial"/>
        </w:rPr>
        <w:t>FLEXCEL NX Ultra.</w:t>
      </w:r>
    </w:p>
    <w:p w14:paraId="739C7D7B" w14:textId="2CEA811E" w:rsidR="0099479A" w:rsidRPr="00E512C0" w:rsidRDefault="0099479A" w:rsidP="0099479A">
      <w:pPr>
        <w:spacing w:line="36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5344EE77" w14:textId="77777777" w:rsidR="00E97E76" w:rsidRPr="001B23D1" w:rsidRDefault="00E97E76" w:rsidP="00E97E76">
      <w:pPr>
        <w:spacing w:line="360" w:lineRule="auto"/>
        <w:rPr>
          <w:rFonts w:ascii="Arial" w:hAnsi="Arial" w:cs="Arial"/>
        </w:rPr>
      </w:pPr>
    </w:p>
    <w:p w14:paraId="700F93B3" w14:textId="77B74003" w:rsidR="00C94331" w:rsidRPr="00A639C1" w:rsidRDefault="00C94331" w:rsidP="00C94331">
      <w:pPr>
        <w:tabs>
          <w:tab w:val="left" w:pos="360"/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Informacje o firmie Miraclon</w:t>
      </w:r>
    </w:p>
    <w:p w14:paraId="20A23523" w14:textId="4FEF1122" w:rsidR="00C94331" w:rsidRDefault="00C94331" w:rsidP="00C94331">
      <w:pPr>
        <w:rPr>
          <w:rFonts w:ascii="Arial" w:hAnsi="Arial"/>
        </w:rPr>
      </w:pPr>
      <w:r>
        <w:rPr>
          <w:rFonts w:ascii="Arial" w:hAnsi="Arial"/>
        </w:rPr>
        <w:t xml:space="preserve">Rozwiązania KODAK FLEXCEL Solutions od ponad dekady pomagają przekształcać druk fleksograficzny. Oferowane przez firmę Miraclon rozwiązania KODAK FLEXCEL Solutions — w tym najlepsze w branży systemy FLEXCEL NX i FLEXCEL NX Ultra — zapewniają klientom wyższą jakość, lepszą efektywność kosztową, wyższą produktywność i najlepsze w klasie wyniki. Koncentrując się na rozwijaniu nauk związanych z obrazowaniem, innowacji i współpracy z partnerami przemysłowymi i klientami, firma Miraclon angażuje się w przyszłość fleksografii, mając wszelkie widoki na pozycję lidera. </w:t>
      </w:r>
    </w:p>
    <w:p w14:paraId="21712377" w14:textId="77777777" w:rsidR="00E512C0" w:rsidRPr="00A639C1" w:rsidRDefault="00E512C0" w:rsidP="00C94331">
      <w:pPr>
        <w:rPr>
          <w:rFonts w:ascii="Arial" w:hAnsi="Arial" w:cs="Arial"/>
        </w:rPr>
      </w:pPr>
    </w:p>
    <w:p w14:paraId="09EBACF1" w14:textId="4242B5A2" w:rsidR="009D2C80" w:rsidRPr="00A639C1" w:rsidRDefault="00C94331" w:rsidP="00C94331">
      <w:pPr>
        <w:pStyle w:val="Standard1"/>
        <w:rPr>
          <w:rFonts w:ascii="Arial" w:hAnsi="Arial" w:cs="Arial"/>
          <w:szCs w:val="20"/>
        </w:rPr>
      </w:pPr>
      <w:r>
        <w:rPr>
          <w:rFonts w:ascii="Arial" w:hAnsi="Arial"/>
        </w:rPr>
        <w:t>Dowiedz się więcej pod adresem</w:t>
      </w:r>
      <w:r>
        <w:rPr>
          <w:rStyle w:val="Hyperlink"/>
          <w:rFonts w:ascii="Arial" w:hAnsi="Arial"/>
        </w:rPr>
        <w:t xml:space="preserve"> </w:t>
      </w:r>
      <w:hyperlink r:id="rId14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. Obserwuj nas na Twitterze: </w:t>
      </w:r>
      <w:hyperlink r:id="rId15" w:history="1">
        <w:r>
          <w:rPr>
            <w:rStyle w:val="Hyperlink"/>
            <w:rFonts w:ascii="Arial" w:hAnsi="Arial"/>
            <w:color w:val="4472C4" w:themeColor="accent1"/>
          </w:rPr>
          <w:t>@kodakflexcel</w:t>
        </w:r>
      </w:hyperlink>
      <w:r>
        <w:rPr>
          <w:rFonts w:ascii="Arial" w:hAnsi="Arial"/>
          <w:color w:val="4472C4" w:themeColor="accent1"/>
        </w:rPr>
        <w:t xml:space="preserve"> </w:t>
      </w:r>
      <w:r>
        <w:rPr>
          <w:rFonts w:ascii="Arial" w:hAnsi="Arial"/>
        </w:rPr>
        <w:t xml:space="preserve">i dołącz do nas w LinkedIn: </w:t>
      </w:r>
      <w:hyperlink r:id="rId16" w:history="1">
        <w:r>
          <w:rPr>
            <w:rStyle w:val="Hyperlink"/>
            <w:rFonts w:ascii="Arial" w:hAnsi="Arial"/>
          </w:rPr>
          <w:t>Miraclon Corporation</w:t>
        </w:r>
      </w:hyperlink>
      <w:r>
        <w:rPr>
          <w:rFonts w:ascii="Arial" w:hAnsi="Arial"/>
        </w:rPr>
        <w:t>.</w:t>
      </w:r>
    </w:p>
    <w:sectPr w:rsidR="009D2C80" w:rsidRPr="00A639C1" w:rsidSect="009D2C80">
      <w:headerReference w:type="default" r:id="rId17"/>
      <w:pgSz w:w="11906" w:h="16838"/>
      <w:pgMar w:top="709" w:right="1376" w:bottom="14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423FA" w14:textId="77777777" w:rsidR="00026121" w:rsidRDefault="00026121">
      <w:r>
        <w:separator/>
      </w:r>
    </w:p>
  </w:endnote>
  <w:endnote w:type="continuationSeparator" w:id="0">
    <w:p w14:paraId="1A911AEB" w14:textId="77777777" w:rsidR="00026121" w:rsidRDefault="0002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C352A" w14:textId="77777777" w:rsidR="00026121" w:rsidRDefault="00026121">
      <w:r>
        <w:rPr>
          <w:color w:val="000000"/>
        </w:rPr>
        <w:separator/>
      </w:r>
    </w:p>
  </w:footnote>
  <w:footnote w:type="continuationSeparator" w:id="0">
    <w:p w14:paraId="791926B3" w14:textId="77777777" w:rsidR="00026121" w:rsidRDefault="0002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37A4" w14:textId="77777777" w:rsidR="00C8408F" w:rsidRDefault="00C8408F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4"/>
  </w:num>
  <w:num w:numId="5">
    <w:abstractNumId w:val="20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19"/>
  </w:num>
  <w:num w:numId="11">
    <w:abstractNumId w:val="2"/>
  </w:num>
  <w:num w:numId="12">
    <w:abstractNumId w:val="22"/>
  </w:num>
  <w:num w:numId="13">
    <w:abstractNumId w:val="3"/>
  </w:num>
  <w:num w:numId="14">
    <w:abstractNumId w:val="15"/>
  </w:num>
  <w:num w:numId="15">
    <w:abstractNumId w:val="23"/>
  </w:num>
  <w:num w:numId="16">
    <w:abstractNumId w:val="0"/>
  </w:num>
  <w:num w:numId="17">
    <w:abstractNumId w:val="4"/>
  </w:num>
  <w:num w:numId="18">
    <w:abstractNumId w:val="6"/>
  </w:num>
  <w:num w:numId="19">
    <w:abstractNumId w:val="14"/>
  </w:num>
  <w:num w:numId="20">
    <w:abstractNumId w:val="17"/>
  </w:num>
  <w:num w:numId="21">
    <w:abstractNumId w:val="21"/>
  </w:num>
  <w:num w:numId="22">
    <w:abstractNumId w:val="9"/>
  </w:num>
  <w:num w:numId="23">
    <w:abstractNumId w:val="26"/>
  </w:num>
  <w:num w:numId="24">
    <w:abstractNumId w:val="1"/>
  </w:num>
  <w:num w:numId="25">
    <w:abstractNumId w:val="8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20471"/>
    <w:rsid w:val="00026121"/>
    <w:rsid w:val="000353B7"/>
    <w:rsid w:val="00042705"/>
    <w:rsid w:val="00050D39"/>
    <w:rsid w:val="00066F7A"/>
    <w:rsid w:val="00086A35"/>
    <w:rsid w:val="00094A05"/>
    <w:rsid w:val="000C3923"/>
    <w:rsid w:val="000E34D2"/>
    <w:rsid w:val="0011605E"/>
    <w:rsid w:val="00122615"/>
    <w:rsid w:val="001238C3"/>
    <w:rsid w:val="00142ACB"/>
    <w:rsid w:val="00156921"/>
    <w:rsid w:val="0015779F"/>
    <w:rsid w:val="00160838"/>
    <w:rsid w:val="00161A56"/>
    <w:rsid w:val="0016622F"/>
    <w:rsid w:val="00184F21"/>
    <w:rsid w:val="001873C4"/>
    <w:rsid w:val="00197B69"/>
    <w:rsid w:val="001A1ECA"/>
    <w:rsid w:val="001B23D1"/>
    <w:rsid w:val="001B27F0"/>
    <w:rsid w:val="001B7683"/>
    <w:rsid w:val="001D48E5"/>
    <w:rsid w:val="001E04C4"/>
    <w:rsid w:val="001E3C88"/>
    <w:rsid w:val="00205469"/>
    <w:rsid w:val="00210585"/>
    <w:rsid w:val="00212E9B"/>
    <w:rsid w:val="00234162"/>
    <w:rsid w:val="00241450"/>
    <w:rsid w:val="00277BA2"/>
    <w:rsid w:val="00291312"/>
    <w:rsid w:val="00291B51"/>
    <w:rsid w:val="00292376"/>
    <w:rsid w:val="00294D23"/>
    <w:rsid w:val="002D2176"/>
    <w:rsid w:val="002D5A7C"/>
    <w:rsid w:val="002E2ABE"/>
    <w:rsid w:val="00306C5E"/>
    <w:rsid w:val="00345986"/>
    <w:rsid w:val="0035242D"/>
    <w:rsid w:val="00361231"/>
    <w:rsid w:val="00370FE2"/>
    <w:rsid w:val="00392C2F"/>
    <w:rsid w:val="003A1E33"/>
    <w:rsid w:val="003B3E76"/>
    <w:rsid w:val="003C214B"/>
    <w:rsid w:val="003D5D87"/>
    <w:rsid w:val="003F4A5A"/>
    <w:rsid w:val="00401C21"/>
    <w:rsid w:val="00410F0B"/>
    <w:rsid w:val="00420178"/>
    <w:rsid w:val="00440F28"/>
    <w:rsid w:val="00443DB2"/>
    <w:rsid w:val="00444018"/>
    <w:rsid w:val="00452E35"/>
    <w:rsid w:val="004648F8"/>
    <w:rsid w:val="00470F98"/>
    <w:rsid w:val="00494BC0"/>
    <w:rsid w:val="004D0847"/>
    <w:rsid w:val="004D7AEE"/>
    <w:rsid w:val="004E3DC8"/>
    <w:rsid w:val="004F31DC"/>
    <w:rsid w:val="004F4545"/>
    <w:rsid w:val="00506882"/>
    <w:rsid w:val="00567BBC"/>
    <w:rsid w:val="0057087A"/>
    <w:rsid w:val="005A3B6A"/>
    <w:rsid w:val="005C0194"/>
    <w:rsid w:val="005F2E82"/>
    <w:rsid w:val="0061094E"/>
    <w:rsid w:val="00610F69"/>
    <w:rsid w:val="0061628F"/>
    <w:rsid w:val="00622A24"/>
    <w:rsid w:val="00625E38"/>
    <w:rsid w:val="00654484"/>
    <w:rsid w:val="00654BE1"/>
    <w:rsid w:val="006630D8"/>
    <w:rsid w:val="006638CF"/>
    <w:rsid w:val="006641EF"/>
    <w:rsid w:val="00664458"/>
    <w:rsid w:val="006760A0"/>
    <w:rsid w:val="00680B43"/>
    <w:rsid w:val="00685C8F"/>
    <w:rsid w:val="006918C4"/>
    <w:rsid w:val="006B3153"/>
    <w:rsid w:val="006B4411"/>
    <w:rsid w:val="006B7E71"/>
    <w:rsid w:val="006F0588"/>
    <w:rsid w:val="00752B94"/>
    <w:rsid w:val="007975BF"/>
    <w:rsid w:val="007C2EAE"/>
    <w:rsid w:val="007C441F"/>
    <w:rsid w:val="007D1C1E"/>
    <w:rsid w:val="007D4450"/>
    <w:rsid w:val="007E68AC"/>
    <w:rsid w:val="0080408E"/>
    <w:rsid w:val="00840793"/>
    <w:rsid w:val="00851FB9"/>
    <w:rsid w:val="0086228E"/>
    <w:rsid w:val="00884D3E"/>
    <w:rsid w:val="008962D6"/>
    <w:rsid w:val="00905B2B"/>
    <w:rsid w:val="00923EF4"/>
    <w:rsid w:val="00926F45"/>
    <w:rsid w:val="009349C6"/>
    <w:rsid w:val="00950F06"/>
    <w:rsid w:val="00983A5C"/>
    <w:rsid w:val="00990723"/>
    <w:rsid w:val="0099479A"/>
    <w:rsid w:val="009A4B61"/>
    <w:rsid w:val="009B295F"/>
    <w:rsid w:val="009C1F9B"/>
    <w:rsid w:val="009D2749"/>
    <w:rsid w:val="009D2C80"/>
    <w:rsid w:val="009F2F57"/>
    <w:rsid w:val="009F6C63"/>
    <w:rsid w:val="00A12A22"/>
    <w:rsid w:val="00A16CCC"/>
    <w:rsid w:val="00A31A08"/>
    <w:rsid w:val="00A3626B"/>
    <w:rsid w:val="00A44F45"/>
    <w:rsid w:val="00A45797"/>
    <w:rsid w:val="00A55531"/>
    <w:rsid w:val="00A639C1"/>
    <w:rsid w:val="00A664CE"/>
    <w:rsid w:val="00A7463A"/>
    <w:rsid w:val="00A904AC"/>
    <w:rsid w:val="00AA0CEE"/>
    <w:rsid w:val="00AA1BFA"/>
    <w:rsid w:val="00AA4FEE"/>
    <w:rsid w:val="00AA5B71"/>
    <w:rsid w:val="00AC1D1A"/>
    <w:rsid w:val="00AD0AC6"/>
    <w:rsid w:val="00AD45E0"/>
    <w:rsid w:val="00AE1D6E"/>
    <w:rsid w:val="00AE25FF"/>
    <w:rsid w:val="00AF527B"/>
    <w:rsid w:val="00B01E0D"/>
    <w:rsid w:val="00B1405A"/>
    <w:rsid w:val="00B51B44"/>
    <w:rsid w:val="00B609B6"/>
    <w:rsid w:val="00B73004"/>
    <w:rsid w:val="00B732D7"/>
    <w:rsid w:val="00B74D5B"/>
    <w:rsid w:val="00B804C8"/>
    <w:rsid w:val="00B80927"/>
    <w:rsid w:val="00B948D0"/>
    <w:rsid w:val="00B95305"/>
    <w:rsid w:val="00BB6BC9"/>
    <w:rsid w:val="00BB6E68"/>
    <w:rsid w:val="00BB7642"/>
    <w:rsid w:val="00BC2D48"/>
    <w:rsid w:val="00BD5C6A"/>
    <w:rsid w:val="00BF18C8"/>
    <w:rsid w:val="00C1384D"/>
    <w:rsid w:val="00C13A36"/>
    <w:rsid w:val="00C20D67"/>
    <w:rsid w:val="00C360FD"/>
    <w:rsid w:val="00C64A3A"/>
    <w:rsid w:val="00C73F1A"/>
    <w:rsid w:val="00C8408F"/>
    <w:rsid w:val="00C87C2B"/>
    <w:rsid w:val="00C94331"/>
    <w:rsid w:val="00CA5BEB"/>
    <w:rsid w:val="00CC4A5B"/>
    <w:rsid w:val="00D36BB5"/>
    <w:rsid w:val="00D46452"/>
    <w:rsid w:val="00D473F1"/>
    <w:rsid w:val="00D57C83"/>
    <w:rsid w:val="00DA3521"/>
    <w:rsid w:val="00DC5725"/>
    <w:rsid w:val="00DD40D3"/>
    <w:rsid w:val="00DE14FF"/>
    <w:rsid w:val="00DF343A"/>
    <w:rsid w:val="00E1346A"/>
    <w:rsid w:val="00E166DA"/>
    <w:rsid w:val="00E512C0"/>
    <w:rsid w:val="00E97E76"/>
    <w:rsid w:val="00EA2F4F"/>
    <w:rsid w:val="00EB7A1B"/>
    <w:rsid w:val="00EC7B40"/>
    <w:rsid w:val="00EE1F0A"/>
    <w:rsid w:val="00EE6596"/>
    <w:rsid w:val="00F01569"/>
    <w:rsid w:val="00F177DB"/>
    <w:rsid w:val="00F5119D"/>
    <w:rsid w:val="00F56F86"/>
    <w:rsid w:val="00F76057"/>
    <w:rsid w:val="00F86DDB"/>
    <w:rsid w:val="00F91305"/>
    <w:rsid w:val="00FC23CC"/>
    <w:rsid w:val="00FE7368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1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1"/>
    <w:pPr>
      <w:suppressLineNumbers/>
    </w:pPr>
    <w:rPr>
      <w:rFonts w:cs="Arial"/>
    </w:rPr>
  </w:style>
  <w:style w:type="paragraph" w:styleId="Header">
    <w:name w:val="header"/>
    <w:basedOn w:val="Standard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1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1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1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1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1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1"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1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1"/>
    <w:link w:val="HTMLPreformattedChar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  <w:lang w:val="pl-PL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E97E76"/>
    <w:rPr>
      <w:rFonts w:ascii="Courier New" w:hAnsi="Courier New" w:cs="Courier New"/>
    </w:rPr>
  </w:style>
  <w:style w:type="character" w:customStyle="1" w:styleId="acopre">
    <w:name w:val="acopre"/>
    <w:basedOn w:val="DefaultParagraphFont"/>
    <w:rsid w:val="0019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woods@adcomm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egon\Documents\Miraclon-PMs\N&#228;gele_NX%20Ultra_Installationsmeldung_2021\elni.vanrensburg%40miraclo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miraclon-corporatio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twitter.com/KodakFlexce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racl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7" ma:contentTypeDescription="Create a new document." ma:contentTypeScope="" ma:versionID="92cf43a226ec665433816361167a174a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a5dcae3b8f8fb3d36f8a935d7cf34252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7AD7-5945-470D-A62C-375E4259F14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9261f8a4-6d62-4efc-93fb-4a2d36e8ead3"/>
  </ds:schemaRefs>
</ds:datastoreItem>
</file>

<file path=customXml/itemProps2.xml><?xml version="1.0" encoding="utf-8"?>
<ds:datastoreItem xmlns:ds="http://schemas.openxmlformats.org/officeDocument/2006/customXml" ds:itemID="{4F5736F4-F411-477B-81D4-C0C071C68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7DC8B-D6FF-4C48-B30D-735F54EDC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1f8a4-6d62-4efc-93fb-4a2d36e8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3D13BE-4605-4D5B-AD2A-C19D12DA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2021-03-12T07:52:00Z</dcterms:created>
  <dcterms:modified xsi:type="dcterms:W3CDTF">2021-03-19T12:47:00Z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