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4DF7" w14:textId="77777777" w:rsidR="003D0F85" w:rsidRDefault="003D0F85" w:rsidP="003D0F85">
      <w:pPr>
        <w:pStyle w:val="p1"/>
        <w:rPr>
          <w:b/>
          <w:sz w:val="20"/>
        </w:rPr>
      </w:pPr>
    </w:p>
    <w:p w14:paraId="5D819A30" w14:textId="204A220A" w:rsidR="003D0F85" w:rsidRPr="003D0F85" w:rsidRDefault="003D0F85" w:rsidP="003D0F85">
      <w:pPr>
        <w:pStyle w:val="p1"/>
        <w:rPr>
          <w:b/>
          <w:sz w:val="20"/>
          <w:szCs w:val="20"/>
        </w:rPr>
      </w:pPr>
      <w:r>
        <w:rPr>
          <w:b/>
          <w:sz w:val="20"/>
        </w:rPr>
        <w:t xml:space="preserve">Comunicato stampa </w:t>
      </w:r>
    </w:p>
    <w:p w14:paraId="43ED8ABA" w14:textId="484D6DFF" w:rsidR="002E2ABE" w:rsidRPr="003D0F85" w:rsidRDefault="00410F0B" w:rsidP="003D0F85">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75DEC26D" w14:textId="3F63E0D4" w:rsidR="009F6C63" w:rsidRPr="007B2547" w:rsidRDefault="009F6C63" w:rsidP="00920243">
      <w:pPr>
        <w:pStyle w:val="Standard1"/>
        <w:rPr>
          <w:rFonts w:ascii="Arial" w:hAnsi="Arial" w:cs="Arial"/>
        </w:rPr>
      </w:pPr>
    </w:p>
    <w:p w14:paraId="7F61EE19" w14:textId="77777777" w:rsidR="003D0F85" w:rsidRDefault="003D0F85" w:rsidP="007B2547">
      <w:pPr>
        <w:pStyle w:val="Standard"/>
        <w:rPr>
          <w:rFonts w:ascii="Arial" w:hAnsi="Arial"/>
          <w:lang w:val="it-IT"/>
        </w:rPr>
      </w:pPr>
    </w:p>
    <w:p w14:paraId="05F78180" w14:textId="570895A6" w:rsidR="007B2547" w:rsidRPr="007B2547" w:rsidRDefault="007B2547" w:rsidP="007B2547">
      <w:pPr>
        <w:pStyle w:val="Standard"/>
        <w:rPr>
          <w:rFonts w:ascii="Arial" w:eastAsia="Arial" w:hAnsi="Arial" w:cs="Arial"/>
          <w:lang w:val="it-IT"/>
        </w:rPr>
      </w:pPr>
      <w:r w:rsidRPr="007B2547">
        <w:rPr>
          <w:rFonts w:ascii="Arial" w:hAnsi="Arial"/>
          <w:lang w:val="it-IT"/>
        </w:rPr>
        <w:t>Responsabile relazioni con i media:</w:t>
      </w:r>
    </w:p>
    <w:p w14:paraId="5E5EEB9D" w14:textId="77777777" w:rsidR="001A2DA9" w:rsidRPr="001A2DA9" w:rsidRDefault="001A2DA9" w:rsidP="001A2DA9">
      <w:pPr>
        <w:pStyle w:val="Standard"/>
        <w:rPr>
          <w:rFonts w:ascii="Arial" w:eastAsia="Arial" w:hAnsi="Arial" w:cs="Arial"/>
          <w:lang w:val="es-ES_tradnl"/>
        </w:rPr>
      </w:pPr>
      <w:r w:rsidRPr="001A2DA9">
        <w:rPr>
          <w:rFonts w:ascii="Arial" w:hAnsi="Arial" w:cs="Arial"/>
          <w:lang w:val="es-ES_tradnl"/>
        </w:rPr>
        <w:t xml:space="preserve">Elni Van Rensburg - +1 830 317 0950 – </w:t>
      </w:r>
      <w:hyperlink r:id="rId9" w:history="1">
        <w:r w:rsidRPr="001A2DA9">
          <w:rPr>
            <w:rStyle w:val="Hyperlink0"/>
          </w:rPr>
          <w:t>elni.vanrensburg@miraclon.com</w:t>
        </w:r>
      </w:hyperlink>
      <w:r w:rsidRPr="001A2DA9">
        <w:rPr>
          <w:rFonts w:ascii="Arial" w:hAnsi="Arial" w:cs="Arial"/>
          <w:lang w:val="es-ES_tradnl"/>
        </w:rPr>
        <w:t xml:space="preserve">   </w:t>
      </w:r>
    </w:p>
    <w:p w14:paraId="7A81BCE0" w14:textId="77777777" w:rsidR="001A2DA9" w:rsidRPr="001A2DA9" w:rsidRDefault="001A2DA9" w:rsidP="001A2DA9">
      <w:pPr>
        <w:pStyle w:val="Standard"/>
        <w:rPr>
          <w:rFonts w:ascii="Arial" w:hAnsi="Arial" w:cs="Arial"/>
          <w:color w:val="auto"/>
        </w:rPr>
      </w:pPr>
      <w:r w:rsidRPr="001A2DA9">
        <w:rPr>
          <w:rFonts w:ascii="Arial" w:hAnsi="Arial" w:cs="Arial"/>
          <w:bCs/>
        </w:rPr>
        <w:t xml:space="preserve">AD Communications: Imogen Woods – +44 (0)1372 464 470 – </w:t>
      </w:r>
      <w:hyperlink r:id="rId10" w:history="1">
        <w:r w:rsidRPr="001A2DA9">
          <w:rPr>
            <w:rStyle w:val="Hyperlink"/>
            <w:rFonts w:ascii="Arial" w:hAnsi="Arial" w:cs="Arial"/>
            <w:bCs/>
            <w:color w:val="2E74B5" w:themeColor="accent5" w:themeShade="BF"/>
          </w:rPr>
          <w:t>iwoods@adcomms.co.uk</w:t>
        </w:r>
      </w:hyperlink>
    </w:p>
    <w:p w14:paraId="75B4EDD8" w14:textId="77777777" w:rsidR="001A2DA9" w:rsidRPr="001A2DA9" w:rsidRDefault="001A2DA9" w:rsidP="00920243">
      <w:pPr>
        <w:pStyle w:val="Standard1"/>
        <w:rPr>
          <w:rFonts w:ascii="Arial" w:hAnsi="Arial" w:cs="Arial"/>
          <w:color w:val="000000"/>
          <w:szCs w:val="20"/>
          <w:lang w:val="en-US"/>
        </w:rPr>
      </w:pPr>
    </w:p>
    <w:p w14:paraId="0D63EAE1" w14:textId="35E0456B" w:rsidR="009F6C63" w:rsidRPr="001A2DA9" w:rsidRDefault="001A2DA9" w:rsidP="007010BE">
      <w:pPr>
        <w:pStyle w:val="Standard1"/>
        <w:spacing w:line="360" w:lineRule="auto"/>
        <w:rPr>
          <w:rFonts w:ascii="Arial" w:hAnsi="Arial" w:cs="Arial"/>
          <w:color w:val="000000"/>
          <w:szCs w:val="20"/>
        </w:rPr>
      </w:pPr>
      <w:r w:rsidRPr="001A2DA9">
        <w:rPr>
          <w:rFonts w:ascii="Arial" w:hAnsi="Arial" w:cs="Arial"/>
          <w:color w:val="000000"/>
        </w:rPr>
        <w:t>20</w:t>
      </w:r>
      <w:r w:rsidR="00A1214E" w:rsidRPr="001A2DA9">
        <w:rPr>
          <w:rFonts w:ascii="Arial" w:hAnsi="Arial" w:cs="Arial"/>
          <w:color w:val="000000"/>
        </w:rPr>
        <w:t xml:space="preserve"> settembre 2022</w:t>
      </w:r>
    </w:p>
    <w:p w14:paraId="5656D397" w14:textId="1D1B9B7F" w:rsidR="00DE5266" w:rsidRPr="001A2DA9" w:rsidRDefault="00DE5266" w:rsidP="007010BE">
      <w:pPr>
        <w:spacing w:line="360" w:lineRule="auto"/>
        <w:rPr>
          <w:rFonts w:ascii="Arial" w:hAnsi="Arial" w:cs="Arial"/>
          <w:sz w:val="26"/>
          <w:szCs w:val="26"/>
        </w:rPr>
      </w:pPr>
    </w:p>
    <w:p w14:paraId="5C003241" w14:textId="43B94BFB" w:rsidR="00DE5266" w:rsidRPr="000B02E4" w:rsidRDefault="00720A68" w:rsidP="007010BE">
      <w:pPr>
        <w:spacing w:line="360" w:lineRule="auto"/>
        <w:jc w:val="center"/>
        <w:rPr>
          <w:rFonts w:ascii="Arial" w:hAnsi="Arial" w:cs="Arial"/>
          <w:b/>
          <w:bCs/>
          <w:sz w:val="26"/>
          <w:szCs w:val="26"/>
        </w:rPr>
      </w:pPr>
      <w:r>
        <w:rPr>
          <w:rFonts w:ascii="Arial" w:hAnsi="Arial"/>
          <w:b/>
          <w:sz w:val="26"/>
        </w:rPr>
        <w:t>Le sedi del Cairo e di Istanbul di Elif hanno completato il programma di certificazione Miraclon per le lastre KODAK FLEXCEL NX evidenziandone i benchmark di efficienza e qualità</w:t>
      </w:r>
    </w:p>
    <w:p w14:paraId="5598F4C6" w14:textId="77777777" w:rsidR="00E91D91" w:rsidRPr="001A2DA9" w:rsidRDefault="00E91D91" w:rsidP="007010BE">
      <w:pPr>
        <w:autoSpaceDE w:val="0"/>
        <w:adjustRightInd w:val="0"/>
        <w:spacing w:line="360" w:lineRule="auto"/>
        <w:ind w:right="-720"/>
        <w:rPr>
          <w:rFonts w:ascii="Arial" w:hAnsi="Arial" w:cs="Arial"/>
          <w:color w:val="000000" w:themeColor="text1"/>
          <w:sz w:val="22"/>
          <w:szCs w:val="22"/>
        </w:rPr>
      </w:pPr>
    </w:p>
    <w:p w14:paraId="2DC57807" w14:textId="015D400A" w:rsidR="00FD216A" w:rsidRPr="000B02E4" w:rsidRDefault="00002E25" w:rsidP="00DE4632">
      <w:pPr>
        <w:pStyle w:val="Default"/>
        <w:widowControl w:val="0"/>
        <w:spacing w:line="360" w:lineRule="auto"/>
        <w:rPr>
          <w:rFonts w:ascii="Arial" w:hAnsi="Arial" w:cs="Arial"/>
          <w:color w:val="000000" w:themeColor="text1"/>
          <w:sz w:val="22"/>
          <w:szCs w:val="22"/>
        </w:rPr>
      </w:pPr>
      <w:r>
        <w:rPr>
          <w:rFonts w:ascii="Arial" w:hAnsi="Arial"/>
          <w:sz w:val="22"/>
        </w:rPr>
        <w:t xml:space="preserve">Elif, una società </w:t>
      </w:r>
      <w:proofErr w:type="spellStart"/>
      <w:r>
        <w:rPr>
          <w:rFonts w:ascii="Arial" w:hAnsi="Arial"/>
          <w:sz w:val="22"/>
        </w:rPr>
        <w:t>Huhtamaki</w:t>
      </w:r>
      <w:proofErr w:type="spellEnd"/>
      <w:r>
        <w:rPr>
          <w:rFonts w:ascii="Arial" w:hAnsi="Arial"/>
          <w:sz w:val="22"/>
        </w:rPr>
        <w:t xml:space="preserve"> incentrata sulla produzione di packaging flessibile, ha completato con successo il programma di certificazione Miraclon per le lastre KODAK FLEXCEL NX.</w:t>
      </w:r>
      <w:r>
        <w:rPr>
          <w:rFonts w:ascii="Arial" w:hAnsi="Arial"/>
          <w:color w:val="000000" w:themeColor="text1"/>
          <w:sz w:val="22"/>
        </w:rPr>
        <w:t xml:space="preserve"> </w:t>
      </w:r>
      <w:bookmarkStart w:id="0" w:name="_Hlk71551458"/>
      <w:r>
        <w:rPr>
          <w:rFonts w:ascii="Arial" w:hAnsi="Arial"/>
          <w:sz w:val="22"/>
        </w:rPr>
        <w:t>Pensato per valutare la capacità degli utenti di KODAK FLEXCEL NX System di soddisfare gli standard internazionali, il programma di certificazione rappresenta un nuovo set di funzionalità studiate per garantire efficienza, ripetibilità e qualità costanti nella produzione delle lastre leader del settore. Inoltre, il processo di certificazione viene supportato da analisi e misurazioni complete dei dati.</w:t>
      </w:r>
      <w:r>
        <w:rPr>
          <w:rFonts w:ascii="Arial" w:hAnsi="Arial"/>
          <w:color w:val="000000" w:themeColor="text1"/>
          <w:sz w:val="22"/>
        </w:rPr>
        <w:t xml:space="preserve"> </w:t>
      </w:r>
      <w:bookmarkEnd w:id="0"/>
    </w:p>
    <w:p w14:paraId="3F05620C" w14:textId="7599592B" w:rsidR="00277AD6" w:rsidRPr="000B02E4" w:rsidRDefault="00277AD6" w:rsidP="00DE4632">
      <w:pPr>
        <w:pStyle w:val="Default"/>
        <w:widowControl w:val="0"/>
        <w:spacing w:line="360" w:lineRule="auto"/>
        <w:rPr>
          <w:rFonts w:ascii="Arial" w:hAnsi="Arial" w:cs="Arial"/>
          <w:color w:val="000000" w:themeColor="text1"/>
          <w:sz w:val="22"/>
          <w:szCs w:val="22"/>
        </w:rPr>
      </w:pPr>
    </w:p>
    <w:p w14:paraId="16FEBC69" w14:textId="59115823" w:rsidR="00A35BC9" w:rsidRDefault="00A35BC9" w:rsidP="00DE4632">
      <w:pPr>
        <w:pStyle w:val="Default"/>
        <w:widowControl w:val="0"/>
        <w:spacing w:line="360" w:lineRule="auto"/>
        <w:rPr>
          <w:rFonts w:ascii="Arial" w:hAnsi="Arial" w:cs="Arial"/>
          <w:color w:val="FF0000"/>
          <w:sz w:val="22"/>
          <w:szCs w:val="22"/>
        </w:rPr>
      </w:pPr>
      <w:r>
        <w:rPr>
          <w:rFonts w:ascii="Arial" w:hAnsi="Arial"/>
          <w:color w:val="000000" w:themeColor="text1"/>
          <w:sz w:val="22"/>
        </w:rPr>
        <w:t>L'azienda, che ha installato il suo primo FLEXCEL NX System nel 2018, possiede due impianti produttivi all'avanguardia nell'area EAMER, uno a Istanbul, in Turchia, l'altro al Cairo, in Egitto. La scelta per ciascun impianto è caduta su FLEXCEL NX System e la certificazione è stata completata presso entrambe le sedi.</w:t>
      </w:r>
      <w:r>
        <w:rPr>
          <w:rFonts w:ascii="Arial" w:hAnsi="Arial"/>
          <w:color w:val="FF0000"/>
          <w:sz w:val="22"/>
        </w:rPr>
        <w:t xml:space="preserve"> </w:t>
      </w:r>
    </w:p>
    <w:p w14:paraId="5A5808ED" w14:textId="77777777" w:rsidR="004450C8" w:rsidRPr="004450C8" w:rsidRDefault="004450C8" w:rsidP="00DE4632">
      <w:pPr>
        <w:pStyle w:val="Default"/>
        <w:widowControl w:val="0"/>
        <w:spacing w:line="360" w:lineRule="auto"/>
        <w:rPr>
          <w:rFonts w:ascii="Arial" w:hAnsi="Arial" w:cs="Arial"/>
          <w:color w:val="FF0000"/>
          <w:sz w:val="22"/>
          <w:szCs w:val="22"/>
        </w:rPr>
      </w:pPr>
    </w:p>
    <w:p w14:paraId="7A75EF27" w14:textId="53A817A3" w:rsidR="004450C8" w:rsidRDefault="004450C8"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Derek Peacock, Design Centre Director presso </w:t>
      </w:r>
      <w:proofErr w:type="spellStart"/>
      <w:r>
        <w:rPr>
          <w:rFonts w:ascii="Arial" w:hAnsi="Arial"/>
          <w:color w:val="000000" w:themeColor="text1"/>
          <w:sz w:val="22"/>
        </w:rPr>
        <w:t>Huhtamaki</w:t>
      </w:r>
      <w:proofErr w:type="spellEnd"/>
      <w:r>
        <w:rPr>
          <w:rFonts w:ascii="Arial" w:hAnsi="Arial"/>
          <w:color w:val="000000" w:themeColor="text1"/>
          <w:sz w:val="22"/>
        </w:rPr>
        <w:t xml:space="preserve"> - Elif, Turchia, ha così commentato la decisione: "I nostri clienti si aspettano unicamente un packaging flessibile di ottima qualità e noi vogliamo massimizzare l'efficienza in fase di produzione. Le lastre FLEXCEL NX sono di gran lunga le migliori della categoria e ci assicurano l'efficienza e la qualità che desideriamo. Inoltre, lavoriamo costantemente con il team Miraclon per garantire l'adozione delle best practice e massimizzare i vantaggi ottenuti con le lastre. </w:t>
      </w:r>
    </w:p>
    <w:p w14:paraId="6B38E4BE" w14:textId="77777777" w:rsidR="00DF434A" w:rsidRDefault="00DF434A" w:rsidP="00DE4632">
      <w:pPr>
        <w:pStyle w:val="Default"/>
        <w:widowControl w:val="0"/>
        <w:spacing w:line="360" w:lineRule="auto"/>
        <w:rPr>
          <w:rFonts w:ascii="Arial" w:hAnsi="Arial" w:cs="Arial"/>
          <w:color w:val="000000" w:themeColor="text1"/>
          <w:sz w:val="22"/>
          <w:szCs w:val="22"/>
        </w:rPr>
      </w:pPr>
    </w:p>
    <w:p w14:paraId="1C7CD5E5" w14:textId="00331472" w:rsidR="004450C8" w:rsidRDefault="00F33983"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"I nostri clienti conoscono bene i nostri benchmark di qualità. Le certificazioni, come quella Miraclon, riconoscono pubblicamente i nostri rigorosi processi produttivi che comprendono la misurazione dei dati, l'efficienza della produzione e la stampa di packaging flessibile di alta qualità. Ne è una prova il nostro impegno costante a </w:t>
      </w:r>
      <w:r>
        <w:rPr>
          <w:rFonts w:ascii="Arial" w:hAnsi="Arial"/>
          <w:color w:val="000000" w:themeColor="text1"/>
          <w:sz w:val="22"/>
        </w:rPr>
        <w:lastRenderedPageBreak/>
        <w:t>raggiungere e superare i più elevati standard di produzione per lastre e stampa flessografica."</w:t>
      </w:r>
    </w:p>
    <w:p w14:paraId="372F10BB" w14:textId="23A1ACDA" w:rsidR="00F33983" w:rsidRDefault="00F33983" w:rsidP="00DE4632">
      <w:pPr>
        <w:pStyle w:val="Default"/>
        <w:widowControl w:val="0"/>
        <w:spacing w:line="360" w:lineRule="auto"/>
        <w:rPr>
          <w:rFonts w:ascii="Arial" w:hAnsi="Arial" w:cs="Arial"/>
          <w:color w:val="000000" w:themeColor="text1"/>
          <w:sz w:val="22"/>
          <w:szCs w:val="22"/>
        </w:rPr>
      </w:pPr>
    </w:p>
    <w:p w14:paraId="34A3D367" w14:textId="77777777" w:rsidR="004F5920" w:rsidRDefault="004F5920" w:rsidP="00DE4632">
      <w:pPr>
        <w:pStyle w:val="Default"/>
        <w:widowControl w:val="0"/>
        <w:spacing w:line="360" w:lineRule="auto"/>
        <w:rPr>
          <w:rFonts w:ascii="Arial" w:hAnsi="Arial" w:cs="Arial"/>
          <w:sz w:val="22"/>
          <w:szCs w:val="22"/>
        </w:rPr>
      </w:pPr>
    </w:p>
    <w:p w14:paraId="5446C14D" w14:textId="03428E82" w:rsidR="009F6C63" w:rsidRDefault="00282EA2" w:rsidP="007010BE">
      <w:pPr>
        <w:pStyle w:val="p1"/>
        <w:spacing w:line="360" w:lineRule="auto"/>
        <w:jc w:val="center"/>
        <w:rPr>
          <w:bCs/>
          <w:sz w:val="22"/>
          <w:szCs w:val="22"/>
        </w:rPr>
      </w:pPr>
      <w:r>
        <w:rPr>
          <w:sz w:val="22"/>
        </w:rPr>
        <w:t>FINE</w:t>
      </w:r>
    </w:p>
    <w:p w14:paraId="71423869" w14:textId="74FFA12A" w:rsidR="00E015EE" w:rsidRPr="00A35BC9" w:rsidRDefault="00E015EE" w:rsidP="007010BE">
      <w:pPr>
        <w:spacing w:line="360" w:lineRule="auto"/>
        <w:rPr>
          <w:rFonts w:ascii="Arial" w:hAnsi="Arial"/>
          <w:bCs/>
          <w:color w:val="FF0000"/>
        </w:rPr>
      </w:pPr>
      <w:r>
        <w:rPr>
          <w:rFonts w:ascii="Arial" w:hAnsi="Arial"/>
          <w:color w:val="FF0000"/>
        </w:rPr>
        <w:t xml:space="preserve"> </w:t>
      </w:r>
    </w:p>
    <w:p w14:paraId="466E0113" w14:textId="0C032F82" w:rsidR="00E130AD" w:rsidRPr="001A2DA9" w:rsidRDefault="00E130AD" w:rsidP="007010BE">
      <w:pPr>
        <w:spacing w:line="360" w:lineRule="auto"/>
        <w:rPr>
          <w:rFonts w:ascii="Arial" w:hAnsi="Arial" w:cs="Arial"/>
          <w:b/>
          <w:color w:val="000000" w:themeColor="text1"/>
        </w:rPr>
      </w:pPr>
      <w:r w:rsidRPr="001A2DA9">
        <w:rPr>
          <w:rFonts w:ascii="Arial" w:hAnsi="Arial" w:cs="Arial"/>
          <w:b/>
          <w:color w:val="000000" w:themeColor="text1"/>
        </w:rPr>
        <w:t xml:space="preserve">Didascalia: </w:t>
      </w:r>
    </w:p>
    <w:p w14:paraId="45D03F71" w14:textId="34F8E961" w:rsidR="00A1214E" w:rsidRPr="001A2DA9" w:rsidRDefault="00A1214E" w:rsidP="00A1214E">
      <w:pPr>
        <w:rPr>
          <w:rFonts w:ascii="Arial" w:hAnsi="Arial" w:cs="Arial"/>
          <w:color w:val="000000"/>
        </w:rPr>
      </w:pPr>
      <w:r w:rsidRPr="001A2DA9">
        <w:rPr>
          <w:rFonts w:ascii="Arial" w:hAnsi="Arial" w:cs="Arial"/>
          <w:color w:val="000000"/>
        </w:rPr>
        <w:t xml:space="preserve">Derek Peacock, Design Centre Director, </w:t>
      </w:r>
      <w:proofErr w:type="spellStart"/>
      <w:r w:rsidRPr="001A2DA9">
        <w:rPr>
          <w:rFonts w:ascii="Arial" w:hAnsi="Arial" w:cs="Arial"/>
          <w:color w:val="000000"/>
        </w:rPr>
        <w:t>Huhtamaki</w:t>
      </w:r>
      <w:proofErr w:type="spellEnd"/>
      <w:r w:rsidRPr="001A2DA9">
        <w:rPr>
          <w:rFonts w:ascii="Arial" w:hAnsi="Arial" w:cs="Arial"/>
          <w:color w:val="000000"/>
        </w:rPr>
        <w:t xml:space="preserve"> Elif Istanbul e Cairo (L). </w:t>
      </w:r>
      <w:proofErr w:type="spellStart"/>
      <w:r w:rsidRPr="001A2DA9">
        <w:rPr>
          <w:rFonts w:ascii="Arial" w:hAnsi="Arial" w:cs="Arial"/>
          <w:color w:val="000000"/>
        </w:rPr>
        <w:t>Selçuk</w:t>
      </w:r>
      <w:proofErr w:type="spellEnd"/>
      <w:r w:rsidRPr="001A2DA9">
        <w:rPr>
          <w:rFonts w:ascii="Arial" w:hAnsi="Arial" w:cs="Arial"/>
          <w:color w:val="000000"/>
        </w:rPr>
        <w:t xml:space="preserve"> </w:t>
      </w:r>
      <w:proofErr w:type="spellStart"/>
      <w:r w:rsidRPr="001A2DA9">
        <w:rPr>
          <w:rFonts w:ascii="Arial" w:hAnsi="Arial" w:cs="Arial"/>
          <w:color w:val="000000"/>
        </w:rPr>
        <w:t>Yarangümelioglu</w:t>
      </w:r>
      <w:proofErr w:type="spellEnd"/>
      <w:r w:rsidRPr="001A2DA9">
        <w:rPr>
          <w:rFonts w:ascii="Arial" w:hAnsi="Arial" w:cs="Arial"/>
          <w:color w:val="000000"/>
        </w:rPr>
        <w:t xml:space="preserve">, CEO, </w:t>
      </w:r>
      <w:proofErr w:type="spellStart"/>
      <w:r w:rsidRPr="001A2DA9">
        <w:rPr>
          <w:rFonts w:ascii="Arial" w:hAnsi="Arial" w:cs="Arial"/>
          <w:color w:val="000000"/>
        </w:rPr>
        <w:t>Huhtamaki</w:t>
      </w:r>
      <w:proofErr w:type="spellEnd"/>
      <w:r w:rsidRPr="001A2DA9">
        <w:rPr>
          <w:rFonts w:ascii="Arial" w:hAnsi="Arial" w:cs="Arial"/>
          <w:color w:val="000000"/>
        </w:rPr>
        <w:t xml:space="preserve"> Elif Istanbul e Cairo (R)</w:t>
      </w:r>
    </w:p>
    <w:p w14:paraId="15FD3AF7" w14:textId="611EBB53" w:rsidR="00A1214E" w:rsidRPr="001A2DA9" w:rsidRDefault="00A1214E" w:rsidP="00A1214E">
      <w:pPr>
        <w:rPr>
          <w:rFonts w:ascii="Arial" w:hAnsi="Arial" w:cs="Arial"/>
          <w:color w:val="000000"/>
        </w:rPr>
      </w:pPr>
    </w:p>
    <w:p w14:paraId="270C1054" w14:textId="77777777" w:rsidR="000E705E" w:rsidRPr="001A2DA9" w:rsidRDefault="000E705E" w:rsidP="000E705E">
      <w:pPr>
        <w:rPr>
          <w:rFonts w:ascii="Arial" w:hAnsi="Arial" w:cs="Arial"/>
          <w:b/>
        </w:rPr>
      </w:pPr>
    </w:p>
    <w:p w14:paraId="56D878EB" w14:textId="33CEFEA7" w:rsidR="000E705E" w:rsidRPr="001A2DA9" w:rsidRDefault="000E705E" w:rsidP="000E705E">
      <w:pPr>
        <w:rPr>
          <w:rFonts w:ascii="Arial" w:hAnsi="Arial" w:cs="Arial"/>
          <w:b/>
          <w:bCs/>
        </w:rPr>
      </w:pPr>
      <w:r w:rsidRPr="001A2DA9">
        <w:rPr>
          <w:rFonts w:ascii="Arial" w:hAnsi="Arial" w:cs="Arial"/>
          <w:b/>
        </w:rPr>
        <w:t>Informazioni su Miraclon</w:t>
      </w:r>
    </w:p>
    <w:p w14:paraId="49A3B845" w14:textId="77777777" w:rsidR="000E705E" w:rsidRPr="001A2DA9" w:rsidRDefault="000E705E" w:rsidP="000E705E">
      <w:pPr>
        <w:rPr>
          <w:rFonts w:ascii="Arial" w:hAnsi="Arial" w:cs="Arial"/>
        </w:rPr>
      </w:pPr>
      <w:r w:rsidRPr="001A2DA9">
        <w:rPr>
          <w:rFonts w:ascii="Arial" w:hAnsi="Arial" w:cs="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sidRPr="001A2DA9">
        <w:rPr>
          <w:rFonts w:ascii="Arial" w:hAnsi="Arial" w:cs="Arial"/>
        </w:rPr>
        <w:t>PureFlexo</w:t>
      </w:r>
      <w:proofErr w:type="spellEnd"/>
      <w:r w:rsidRPr="001A2DA9">
        <w:rPr>
          <w:rFonts w:ascii="Arial" w:hAnsi="Arial" w:cs="Arial"/>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sidRPr="001A2DA9">
        <w:rPr>
          <w:rStyle w:val="Hyperlink"/>
          <w:rFonts w:ascii="Arial" w:hAnsi="Arial" w:cs="Arial"/>
        </w:rPr>
        <w:t xml:space="preserve"> </w:t>
      </w:r>
      <w:hyperlink r:id="rId11" w:history="1">
        <w:r w:rsidRPr="001A2DA9">
          <w:rPr>
            <w:rStyle w:val="Hyperlink"/>
            <w:rFonts w:ascii="Arial" w:hAnsi="Arial" w:cs="Arial"/>
          </w:rPr>
          <w:t>www.miraclon.com</w:t>
        </w:r>
      </w:hyperlink>
      <w:r w:rsidRPr="001A2DA9">
        <w:rPr>
          <w:rFonts w:ascii="Arial" w:hAnsi="Arial" w:cs="Arial"/>
        </w:rPr>
        <w:t xml:space="preserve"> e su </w:t>
      </w:r>
      <w:hyperlink r:id="rId12" w:history="1">
        <w:r w:rsidRPr="001A2DA9">
          <w:rPr>
            <w:rStyle w:val="Hyperlink"/>
            <w:rFonts w:ascii="Arial" w:hAnsi="Arial" w:cs="Arial"/>
          </w:rPr>
          <w:t>LinkedIn</w:t>
        </w:r>
      </w:hyperlink>
      <w:r w:rsidRPr="001A2DA9">
        <w:rPr>
          <w:rFonts w:ascii="Arial" w:hAnsi="Arial" w:cs="Arial"/>
        </w:rPr>
        <w:t xml:space="preserve"> e </w:t>
      </w:r>
      <w:hyperlink r:id="rId13" w:history="1">
        <w:r w:rsidRPr="001A2DA9">
          <w:rPr>
            <w:rStyle w:val="Hyperlink"/>
            <w:rFonts w:ascii="Arial" w:hAnsi="Arial" w:cs="Arial"/>
          </w:rPr>
          <w:t>YouTube</w:t>
        </w:r>
      </w:hyperlink>
      <w:r w:rsidRPr="001A2DA9">
        <w:rPr>
          <w:rFonts w:ascii="Arial" w:hAnsi="Arial" w:cs="Arial"/>
        </w:rPr>
        <w:t>.</w:t>
      </w:r>
    </w:p>
    <w:p w14:paraId="09EBACF1" w14:textId="63914387" w:rsidR="009D2C80" w:rsidRPr="001A2DA9" w:rsidRDefault="009D2C80" w:rsidP="000E705E">
      <w:pPr>
        <w:rPr>
          <w:rFonts w:ascii="Arial" w:hAnsi="Arial" w:cs="Arial"/>
        </w:rPr>
      </w:pPr>
    </w:p>
    <w:sectPr w:rsidR="009D2C80" w:rsidRPr="001A2DA9"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D37B" w14:textId="77777777" w:rsidR="008423FE" w:rsidRDefault="008423FE">
      <w:r>
        <w:separator/>
      </w:r>
    </w:p>
  </w:endnote>
  <w:endnote w:type="continuationSeparator" w:id="0">
    <w:p w14:paraId="4E52B316" w14:textId="77777777" w:rsidR="008423FE" w:rsidRDefault="0084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9B0F" w14:textId="77777777" w:rsidR="008423FE" w:rsidRDefault="008423FE">
      <w:r>
        <w:rPr>
          <w:color w:val="000000"/>
        </w:rPr>
        <w:separator/>
      </w:r>
    </w:p>
  </w:footnote>
  <w:footnote w:type="continuationSeparator" w:id="0">
    <w:p w14:paraId="0659F2F1" w14:textId="77777777" w:rsidR="008423FE" w:rsidRDefault="0084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102CED"/>
    <w:rsid w:val="001109D7"/>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939B6"/>
    <w:rsid w:val="001A1ECA"/>
    <w:rsid w:val="001A2DA9"/>
    <w:rsid w:val="001A61E7"/>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0F85"/>
    <w:rsid w:val="003D5D87"/>
    <w:rsid w:val="003F1AE9"/>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378C"/>
    <w:rsid w:val="004C2B39"/>
    <w:rsid w:val="004C5B96"/>
    <w:rsid w:val="004E1CE5"/>
    <w:rsid w:val="004F5920"/>
    <w:rsid w:val="00506882"/>
    <w:rsid w:val="005436E6"/>
    <w:rsid w:val="00545977"/>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64458"/>
    <w:rsid w:val="006853B6"/>
    <w:rsid w:val="00685C8F"/>
    <w:rsid w:val="006918C4"/>
    <w:rsid w:val="006B3153"/>
    <w:rsid w:val="006B4411"/>
    <w:rsid w:val="006B6070"/>
    <w:rsid w:val="006C0966"/>
    <w:rsid w:val="006E53A3"/>
    <w:rsid w:val="006F0588"/>
    <w:rsid w:val="007010BE"/>
    <w:rsid w:val="00720A68"/>
    <w:rsid w:val="00752B94"/>
    <w:rsid w:val="00760867"/>
    <w:rsid w:val="00767A63"/>
    <w:rsid w:val="007709EC"/>
    <w:rsid w:val="007766E9"/>
    <w:rsid w:val="00777E30"/>
    <w:rsid w:val="00787FE8"/>
    <w:rsid w:val="007975BF"/>
    <w:rsid w:val="007A456E"/>
    <w:rsid w:val="007B2547"/>
    <w:rsid w:val="007C441F"/>
    <w:rsid w:val="007D54EF"/>
    <w:rsid w:val="007E17F1"/>
    <w:rsid w:val="007E20D9"/>
    <w:rsid w:val="007E3697"/>
    <w:rsid w:val="007F1E75"/>
    <w:rsid w:val="00816A7F"/>
    <w:rsid w:val="00823B28"/>
    <w:rsid w:val="00837F0F"/>
    <w:rsid w:val="008423FE"/>
    <w:rsid w:val="00851FB9"/>
    <w:rsid w:val="00884D3E"/>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35DCC"/>
    <w:rsid w:val="00B609B6"/>
    <w:rsid w:val="00B73004"/>
    <w:rsid w:val="00B732D7"/>
    <w:rsid w:val="00B804C8"/>
    <w:rsid w:val="00B80927"/>
    <w:rsid w:val="00B8367C"/>
    <w:rsid w:val="00B90421"/>
    <w:rsid w:val="00B920C3"/>
    <w:rsid w:val="00B94069"/>
    <w:rsid w:val="00B95305"/>
    <w:rsid w:val="00BA16E8"/>
    <w:rsid w:val="00BB6BC9"/>
    <w:rsid w:val="00BB7642"/>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56BD8"/>
    <w:rsid w:val="00E91D91"/>
    <w:rsid w:val="00EA2F4F"/>
    <w:rsid w:val="00EA72FD"/>
    <w:rsid w:val="00EB7A1B"/>
    <w:rsid w:val="00EC3C12"/>
    <w:rsid w:val="00EF734E"/>
    <w:rsid w:val="00F01569"/>
    <w:rsid w:val="00F167D3"/>
    <w:rsid w:val="00F2019E"/>
    <w:rsid w:val="00F33983"/>
    <w:rsid w:val="00F5119D"/>
    <w:rsid w:val="00F56F86"/>
    <w:rsid w:val="00F60498"/>
    <w:rsid w:val="00F76057"/>
    <w:rsid w:val="00F80745"/>
    <w:rsid w:val="00F91305"/>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paragraph" w:customStyle="1" w:styleId="Standard">
    <w:name w:val="Standard"/>
    <w:rsid w:val="001A2DA9"/>
    <w:pPr>
      <w:widowControl/>
      <w:autoSpaceDN/>
      <w:textAlignment w:val="auto"/>
    </w:pPr>
    <w:rPr>
      <w:rFonts w:ascii="Verdana" w:eastAsia="Arial Unicode MS" w:hAnsi="Verdana" w:cs="Arial Unicode MS"/>
      <w:color w:val="000000"/>
      <w:u w:color="000000"/>
      <w:lang w:val="en-US"/>
    </w:rPr>
  </w:style>
  <w:style w:type="character" w:customStyle="1" w:styleId="Hyperlink0">
    <w:name w:val="Hyperlink.0"/>
    <w:basedOn w:val="DefaultParagraphFont"/>
    <w:rsid w:val="001A2DA9"/>
    <w:rPr>
      <w:rFonts w:ascii="Arial" w:eastAsia="Arial" w:hAnsi="Arial" w:cs="Arial" w:hint="default"/>
      <w:outline w:val="0"/>
      <w:shadow w:val="0"/>
      <w:emboss w:val="0"/>
      <w:imprint w:val="0"/>
      <w:color w:val="0563C1"/>
      <w:u w:val="single" w:color="0563C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03676055">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Fathom%20Optics/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2022-09-06T13:12:00Z</dcterms:created>
  <dcterms:modified xsi:type="dcterms:W3CDTF">2022-09-16T12:00:00Z</dcterms:modified>
</cp:coreProperties>
</file>