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4E450E" w:rsidRDefault="00410F0B" w:rsidP="007010BE">
      <w:pPr>
        <w:pStyle w:val="p1"/>
        <w:spacing w:line="360" w:lineRule="auto"/>
        <w:rPr>
          <w:b/>
        </w:rPr>
      </w:pPr>
      <w:r w:rsidRPr="004E450E">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1DE421D7" w:rsidR="009F6C63" w:rsidRPr="004E450E" w:rsidRDefault="007F1E75" w:rsidP="007010BE">
      <w:pPr>
        <w:pStyle w:val="p1"/>
        <w:spacing w:line="360" w:lineRule="auto"/>
      </w:pPr>
      <w:r w:rsidRPr="004E450E">
        <w:rPr>
          <w:b/>
          <w:sz w:val="20"/>
        </w:rPr>
        <w:t>Aviso de prensa</w:t>
      </w:r>
    </w:p>
    <w:p w14:paraId="43ED8ABA" w14:textId="77777777" w:rsidR="002E2ABE" w:rsidRPr="004E450E" w:rsidRDefault="002E2ABE" w:rsidP="00920243">
      <w:pPr>
        <w:pStyle w:val="Standard1"/>
        <w:rPr>
          <w:rFonts w:ascii="Arial" w:hAnsi="Arial" w:cs="Arial"/>
          <w:szCs w:val="20"/>
          <w:lang w:val="es-ES"/>
        </w:rPr>
      </w:pPr>
    </w:p>
    <w:p w14:paraId="5A5A14A1" w14:textId="77777777" w:rsidR="004E450E" w:rsidRPr="004E450E" w:rsidRDefault="004E450E" w:rsidP="00920243">
      <w:pPr>
        <w:pStyle w:val="Standard1"/>
        <w:rPr>
          <w:rFonts w:ascii="Arial" w:hAnsi="Arial" w:cs="Arial"/>
        </w:rPr>
      </w:pPr>
    </w:p>
    <w:p w14:paraId="4B307D72" w14:textId="481EA2D8" w:rsidR="00BF6053" w:rsidRPr="004E450E" w:rsidRDefault="000D52DC" w:rsidP="00920243">
      <w:pPr>
        <w:pStyle w:val="Standard1"/>
        <w:rPr>
          <w:rFonts w:ascii="Arial" w:hAnsi="Arial" w:cs="Arial"/>
          <w:szCs w:val="20"/>
        </w:rPr>
      </w:pPr>
      <w:r w:rsidRPr="004E450E">
        <w:rPr>
          <w:rFonts w:ascii="Arial" w:hAnsi="Arial" w:cs="Arial"/>
        </w:rPr>
        <w:t>Contactos de prensa:</w:t>
      </w:r>
    </w:p>
    <w:p w14:paraId="0CAE03AB" w14:textId="77777777" w:rsidR="004E450E" w:rsidRPr="004E450E" w:rsidRDefault="004E450E" w:rsidP="004E450E">
      <w:pPr>
        <w:pStyle w:val="Standard"/>
        <w:rPr>
          <w:rFonts w:ascii="Arial" w:eastAsia="Arial" w:hAnsi="Arial" w:cs="Arial"/>
          <w:lang w:val="es-ES_tradnl"/>
        </w:rPr>
      </w:pPr>
      <w:r w:rsidRPr="004E450E">
        <w:rPr>
          <w:rFonts w:ascii="Arial" w:hAnsi="Arial" w:cs="Arial"/>
          <w:lang w:val="es-ES_tradnl"/>
        </w:rPr>
        <w:t xml:space="preserve">Elni Van Rensburg - +1 830 317 0950 – </w:t>
      </w:r>
      <w:hyperlink r:id="rId9" w:history="1">
        <w:r w:rsidRPr="004E450E">
          <w:rPr>
            <w:rStyle w:val="Hyperlink0"/>
          </w:rPr>
          <w:t>elni.vanrensburg@miraclon.com</w:t>
        </w:r>
      </w:hyperlink>
      <w:r w:rsidRPr="004E450E">
        <w:rPr>
          <w:rFonts w:ascii="Arial" w:hAnsi="Arial" w:cs="Arial"/>
          <w:lang w:val="es-ES_tradnl"/>
        </w:rPr>
        <w:t xml:space="preserve">   </w:t>
      </w:r>
    </w:p>
    <w:p w14:paraId="0ACF7504" w14:textId="77777777" w:rsidR="004E450E" w:rsidRPr="004E450E" w:rsidRDefault="004E450E" w:rsidP="004E450E">
      <w:pPr>
        <w:pStyle w:val="Standard"/>
        <w:rPr>
          <w:rFonts w:ascii="Arial" w:hAnsi="Arial" w:cs="Arial"/>
          <w:color w:val="auto"/>
        </w:rPr>
      </w:pPr>
      <w:r w:rsidRPr="004E450E">
        <w:rPr>
          <w:rFonts w:ascii="Arial" w:hAnsi="Arial" w:cs="Arial"/>
          <w:bCs/>
        </w:rPr>
        <w:t xml:space="preserve">AD Communications: Imogen Woods – +44 (0)1372 464 470 – </w:t>
      </w:r>
      <w:hyperlink r:id="rId10" w:history="1">
        <w:r w:rsidRPr="004E450E">
          <w:rPr>
            <w:rStyle w:val="Hyperlink"/>
            <w:rFonts w:ascii="Arial" w:hAnsi="Arial" w:cs="Arial"/>
            <w:bCs/>
            <w:color w:val="2E74B5" w:themeColor="accent5" w:themeShade="BF"/>
          </w:rPr>
          <w:t>iwoods@adcomms.co.uk</w:t>
        </w:r>
      </w:hyperlink>
    </w:p>
    <w:p w14:paraId="75DEC26D" w14:textId="77777777" w:rsidR="009F6C63" w:rsidRPr="004E450E" w:rsidRDefault="009F6C63" w:rsidP="00920243">
      <w:pPr>
        <w:pStyle w:val="Standard1"/>
        <w:rPr>
          <w:rFonts w:ascii="Arial" w:hAnsi="Arial" w:cs="Arial"/>
          <w:color w:val="000000"/>
          <w:szCs w:val="20"/>
          <w:lang w:val="en-US"/>
        </w:rPr>
      </w:pPr>
    </w:p>
    <w:p w14:paraId="0D63EAE1" w14:textId="48151EA2" w:rsidR="009F6C63" w:rsidRPr="004E450E" w:rsidRDefault="004E450E" w:rsidP="007010BE">
      <w:pPr>
        <w:pStyle w:val="Standard1"/>
        <w:spacing w:line="360" w:lineRule="auto"/>
        <w:rPr>
          <w:rFonts w:ascii="Arial" w:hAnsi="Arial" w:cs="Arial"/>
          <w:color w:val="000000"/>
          <w:szCs w:val="20"/>
        </w:rPr>
      </w:pPr>
      <w:r w:rsidRPr="004E450E">
        <w:rPr>
          <w:rFonts w:ascii="Arial" w:hAnsi="Arial" w:cs="Arial"/>
          <w:color w:val="000000"/>
        </w:rPr>
        <w:t>20</w:t>
      </w:r>
      <w:r w:rsidR="00A1214E" w:rsidRPr="004E450E">
        <w:rPr>
          <w:rFonts w:ascii="Arial" w:hAnsi="Arial" w:cs="Arial"/>
          <w:color w:val="000000"/>
        </w:rPr>
        <w:t xml:space="preserve"> de septiembre de 2022</w:t>
      </w:r>
    </w:p>
    <w:p w14:paraId="5656D397" w14:textId="1D1B9B7F" w:rsidR="00DE5266" w:rsidRPr="000312A5" w:rsidRDefault="00DE5266" w:rsidP="007010BE">
      <w:pPr>
        <w:spacing w:line="360" w:lineRule="auto"/>
        <w:rPr>
          <w:rFonts w:ascii="Arial" w:hAnsi="Arial" w:cs="Arial"/>
          <w:sz w:val="26"/>
          <w:szCs w:val="26"/>
          <w:lang w:val="es-ES"/>
        </w:rPr>
      </w:pPr>
    </w:p>
    <w:p w14:paraId="5C003241" w14:textId="1F09ECFE" w:rsidR="00DE5266" w:rsidRPr="000B02E4" w:rsidRDefault="00720A68" w:rsidP="007010BE">
      <w:pPr>
        <w:spacing w:line="360" w:lineRule="auto"/>
        <w:jc w:val="center"/>
        <w:rPr>
          <w:rFonts w:ascii="Arial" w:hAnsi="Arial" w:cs="Arial"/>
          <w:b/>
          <w:bCs/>
          <w:sz w:val="26"/>
          <w:szCs w:val="26"/>
        </w:rPr>
      </w:pPr>
      <w:proofErr w:type="spellStart"/>
      <w:r>
        <w:rPr>
          <w:rFonts w:ascii="Arial" w:hAnsi="Arial"/>
          <w:b/>
          <w:sz w:val="26"/>
        </w:rPr>
        <w:t>Elif</w:t>
      </w:r>
      <w:proofErr w:type="spellEnd"/>
      <w:r>
        <w:rPr>
          <w:rFonts w:ascii="Arial" w:hAnsi="Arial"/>
          <w:b/>
          <w:sz w:val="26"/>
        </w:rPr>
        <w:t xml:space="preserve"> Cairo </w:t>
      </w:r>
      <w:r w:rsidR="000312A5">
        <w:rPr>
          <w:rFonts w:ascii="Arial" w:hAnsi="Arial"/>
          <w:b/>
          <w:sz w:val="26"/>
        </w:rPr>
        <w:t>e</w:t>
      </w:r>
      <w:r>
        <w:rPr>
          <w:rFonts w:ascii="Arial" w:hAnsi="Arial"/>
          <w:b/>
          <w:sz w:val="26"/>
        </w:rPr>
        <w:t xml:space="preserve"> </w:t>
      </w:r>
      <w:proofErr w:type="spellStart"/>
      <w:r>
        <w:rPr>
          <w:rFonts w:ascii="Arial" w:hAnsi="Arial"/>
          <w:b/>
          <w:sz w:val="26"/>
        </w:rPr>
        <w:t>Istanbul</w:t>
      </w:r>
      <w:proofErr w:type="spellEnd"/>
      <w:r>
        <w:rPr>
          <w:rFonts w:ascii="Arial" w:hAnsi="Arial"/>
          <w:b/>
          <w:sz w:val="26"/>
        </w:rPr>
        <w:t xml:space="preserve"> completa el Programa de Certificación de Miraclon para las KODAK FLEXCEL NX </w:t>
      </w:r>
      <w:proofErr w:type="spellStart"/>
      <w:r>
        <w:rPr>
          <w:rFonts w:ascii="Arial" w:hAnsi="Arial"/>
          <w:b/>
          <w:sz w:val="26"/>
        </w:rPr>
        <w:t>Plates</w:t>
      </w:r>
      <w:proofErr w:type="spellEnd"/>
      <w:r>
        <w:rPr>
          <w:rFonts w:ascii="Arial" w:hAnsi="Arial"/>
          <w:b/>
          <w:sz w:val="26"/>
        </w:rPr>
        <w:t>, destacando sus estándares de eficiencia y calidad</w:t>
      </w:r>
    </w:p>
    <w:p w14:paraId="5598F4C6" w14:textId="77777777" w:rsidR="00E91D91" w:rsidRPr="000312A5" w:rsidRDefault="00E91D91" w:rsidP="007010BE">
      <w:pPr>
        <w:autoSpaceDE w:val="0"/>
        <w:adjustRightInd w:val="0"/>
        <w:spacing w:line="360" w:lineRule="auto"/>
        <w:ind w:right="-720"/>
        <w:rPr>
          <w:rFonts w:ascii="Arial" w:hAnsi="Arial" w:cs="Arial"/>
          <w:color w:val="000000" w:themeColor="text1"/>
          <w:sz w:val="22"/>
          <w:szCs w:val="22"/>
          <w:lang w:val="es-ES"/>
        </w:rPr>
      </w:pPr>
    </w:p>
    <w:p w14:paraId="2DC57807" w14:textId="015D400A" w:rsidR="00FD216A" w:rsidRPr="000B02E4" w:rsidRDefault="00002E25" w:rsidP="00DE4632">
      <w:pPr>
        <w:pStyle w:val="Default"/>
        <w:widowControl w:val="0"/>
        <w:spacing w:line="360" w:lineRule="auto"/>
        <w:rPr>
          <w:rFonts w:ascii="Arial" w:hAnsi="Arial" w:cs="Arial"/>
          <w:color w:val="000000" w:themeColor="text1"/>
          <w:sz w:val="22"/>
          <w:szCs w:val="22"/>
        </w:rPr>
      </w:pPr>
      <w:proofErr w:type="spellStart"/>
      <w:r>
        <w:rPr>
          <w:rFonts w:ascii="Arial" w:hAnsi="Arial"/>
          <w:sz w:val="22"/>
        </w:rPr>
        <w:t>Elif</w:t>
      </w:r>
      <w:proofErr w:type="spellEnd"/>
      <w:r>
        <w:rPr>
          <w:rFonts w:ascii="Arial" w:hAnsi="Arial"/>
          <w:sz w:val="22"/>
        </w:rPr>
        <w:t xml:space="preserve">, una empresa </w:t>
      </w:r>
      <w:proofErr w:type="spellStart"/>
      <w:r>
        <w:rPr>
          <w:rFonts w:ascii="Arial" w:hAnsi="Arial"/>
          <w:sz w:val="22"/>
        </w:rPr>
        <w:t>Huhtamaki</w:t>
      </w:r>
      <w:proofErr w:type="spellEnd"/>
      <w:r>
        <w:rPr>
          <w:rFonts w:ascii="Arial" w:hAnsi="Arial"/>
          <w:sz w:val="22"/>
        </w:rPr>
        <w:t xml:space="preserve"> enfocada en la producción de empaques flexibles, ha completado con éxito el Programa de Certificación de Miraclon para las FLEXCEL NX </w:t>
      </w:r>
      <w:proofErr w:type="spellStart"/>
      <w:r>
        <w:rPr>
          <w:rFonts w:ascii="Arial" w:hAnsi="Arial"/>
          <w:sz w:val="22"/>
        </w:rPr>
        <w:t>Plates</w:t>
      </w:r>
      <w:proofErr w:type="spellEnd"/>
      <w:r>
        <w:rPr>
          <w:rFonts w:ascii="Arial" w:hAnsi="Arial"/>
          <w:sz w:val="22"/>
        </w:rPr>
        <w:t>.</w:t>
      </w:r>
      <w:r>
        <w:rPr>
          <w:rFonts w:ascii="Arial" w:hAnsi="Arial"/>
          <w:color w:val="000000" w:themeColor="text1"/>
          <w:sz w:val="22"/>
        </w:rPr>
        <w:t xml:space="preserve"> </w:t>
      </w:r>
      <w:bookmarkStart w:id="0" w:name="_Hlk71551458"/>
      <w:r>
        <w:rPr>
          <w:rFonts w:ascii="Arial" w:hAnsi="Arial"/>
          <w:color w:val="000000" w:themeColor="text1"/>
          <w:sz w:val="22"/>
        </w:rPr>
        <w:t>El programa de certificación, que se diseñó para evaluar la capacidad de los usuarios de planchas KODAK FLEXCEL NX para cumplir las normas internacionales, representa un conjunto de funciones que impulsa la eficiencia, repetibilidad y calidad líderes del sector en la producción de planchas</w:t>
      </w:r>
      <w:r>
        <w:rPr>
          <w:rFonts w:ascii="Arial" w:hAnsi="Arial"/>
          <w:sz w:val="22"/>
        </w:rPr>
        <w:t>. El proceso de certificación también está respaldado por la medición y el análisis de datos completos.</w:t>
      </w:r>
      <w:r>
        <w:rPr>
          <w:rFonts w:ascii="Arial" w:hAnsi="Arial"/>
          <w:color w:val="000000" w:themeColor="text1"/>
          <w:sz w:val="22"/>
        </w:rPr>
        <w:t xml:space="preserve"> </w:t>
      </w:r>
      <w:bookmarkEnd w:id="0"/>
    </w:p>
    <w:p w14:paraId="3F05620C" w14:textId="7599592B" w:rsidR="00277AD6" w:rsidRPr="000B02E4" w:rsidRDefault="00277AD6" w:rsidP="00DE4632">
      <w:pPr>
        <w:pStyle w:val="Default"/>
        <w:widowControl w:val="0"/>
        <w:spacing w:line="360" w:lineRule="auto"/>
        <w:rPr>
          <w:rFonts w:ascii="Arial" w:hAnsi="Arial" w:cs="Arial"/>
          <w:color w:val="000000" w:themeColor="text1"/>
          <w:sz w:val="22"/>
          <w:szCs w:val="22"/>
        </w:rPr>
      </w:pPr>
    </w:p>
    <w:p w14:paraId="16FEBC69" w14:textId="59115823" w:rsidR="00A35BC9" w:rsidRDefault="00A35BC9" w:rsidP="00DE4632">
      <w:pPr>
        <w:pStyle w:val="Default"/>
        <w:widowControl w:val="0"/>
        <w:spacing w:line="360" w:lineRule="auto"/>
        <w:rPr>
          <w:rFonts w:ascii="Arial" w:hAnsi="Arial" w:cs="Arial"/>
          <w:color w:val="FF0000"/>
          <w:sz w:val="22"/>
          <w:szCs w:val="22"/>
        </w:rPr>
      </w:pPr>
      <w:r>
        <w:rPr>
          <w:rFonts w:ascii="Arial" w:hAnsi="Arial"/>
          <w:color w:val="000000" w:themeColor="text1"/>
          <w:sz w:val="22"/>
        </w:rPr>
        <w:t xml:space="preserve">La empresa, que instaló su primer FLEXCEL NX </w:t>
      </w:r>
      <w:proofErr w:type="spellStart"/>
      <w:r>
        <w:rPr>
          <w:rFonts w:ascii="Arial" w:hAnsi="Arial"/>
          <w:color w:val="000000" w:themeColor="text1"/>
          <w:sz w:val="22"/>
        </w:rPr>
        <w:t>System</w:t>
      </w:r>
      <w:proofErr w:type="spellEnd"/>
      <w:r>
        <w:rPr>
          <w:rFonts w:ascii="Arial" w:hAnsi="Arial"/>
          <w:color w:val="000000" w:themeColor="text1"/>
          <w:sz w:val="22"/>
        </w:rPr>
        <w:t xml:space="preserve"> en 2018, cuenta con dos instalaciones de producción de última generación en EAMER, una en Estambul, Turquía, y la otra en El Cairo, Egipto. La empresa eligió un FLEXCEL NX </w:t>
      </w:r>
      <w:proofErr w:type="spellStart"/>
      <w:r>
        <w:rPr>
          <w:rFonts w:ascii="Arial" w:hAnsi="Arial"/>
          <w:color w:val="000000" w:themeColor="text1"/>
          <w:sz w:val="22"/>
        </w:rPr>
        <w:t>System</w:t>
      </w:r>
      <w:proofErr w:type="spellEnd"/>
      <w:r>
        <w:rPr>
          <w:rFonts w:ascii="Arial" w:hAnsi="Arial"/>
          <w:color w:val="000000" w:themeColor="text1"/>
          <w:sz w:val="22"/>
        </w:rPr>
        <w:t xml:space="preserve"> para cada instalación de producción y completó la certificación en ambos sitios.</w:t>
      </w:r>
      <w:r>
        <w:rPr>
          <w:rFonts w:ascii="Arial" w:hAnsi="Arial"/>
          <w:color w:val="FF0000"/>
          <w:sz w:val="22"/>
        </w:rPr>
        <w:t xml:space="preserve"> </w:t>
      </w:r>
    </w:p>
    <w:p w14:paraId="5A5808ED" w14:textId="77777777" w:rsidR="004450C8" w:rsidRPr="004450C8" w:rsidRDefault="004450C8" w:rsidP="00DE4632">
      <w:pPr>
        <w:pStyle w:val="Default"/>
        <w:widowControl w:val="0"/>
        <w:spacing w:line="360" w:lineRule="auto"/>
        <w:rPr>
          <w:rFonts w:ascii="Arial" w:hAnsi="Arial" w:cs="Arial"/>
          <w:color w:val="FF0000"/>
          <w:sz w:val="22"/>
          <w:szCs w:val="22"/>
        </w:rPr>
      </w:pPr>
    </w:p>
    <w:p w14:paraId="7A75EF27" w14:textId="53A817A3" w:rsidR="004450C8" w:rsidRDefault="004450C8" w:rsidP="00DE4632">
      <w:pPr>
        <w:pStyle w:val="Default"/>
        <w:widowControl w:val="0"/>
        <w:spacing w:line="360" w:lineRule="auto"/>
        <w:rPr>
          <w:rFonts w:ascii="Arial" w:hAnsi="Arial" w:cs="Arial"/>
          <w:color w:val="000000" w:themeColor="text1"/>
          <w:sz w:val="22"/>
          <w:szCs w:val="22"/>
        </w:rPr>
      </w:pPr>
      <w:r>
        <w:rPr>
          <w:rFonts w:ascii="Arial" w:hAnsi="Arial"/>
          <w:color w:val="000000" w:themeColor="text1"/>
          <w:sz w:val="22"/>
        </w:rPr>
        <w:t xml:space="preserve">Derek </w:t>
      </w:r>
      <w:proofErr w:type="spellStart"/>
      <w:r>
        <w:rPr>
          <w:rFonts w:ascii="Arial" w:hAnsi="Arial"/>
          <w:color w:val="000000" w:themeColor="text1"/>
          <w:sz w:val="22"/>
        </w:rPr>
        <w:t>Peacock</w:t>
      </w:r>
      <w:proofErr w:type="spellEnd"/>
      <w:r>
        <w:rPr>
          <w:rFonts w:ascii="Arial" w:hAnsi="Arial"/>
          <w:color w:val="000000" w:themeColor="text1"/>
          <w:sz w:val="22"/>
        </w:rPr>
        <w:t xml:space="preserve">, Director del Centro de Diseño en </w:t>
      </w:r>
      <w:proofErr w:type="spellStart"/>
      <w:r>
        <w:rPr>
          <w:rFonts w:ascii="Arial" w:hAnsi="Arial"/>
          <w:color w:val="000000" w:themeColor="text1"/>
          <w:sz w:val="22"/>
        </w:rPr>
        <w:t>Huhtamaki</w:t>
      </w:r>
      <w:proofErr w:type="spellEnd"/>
      <w:r>
        <w:rPr>
          <w:rFonts w:ascii="Arial" w:hAnsi="Arial"/>
          <w:color w:val="000000" w:themeColor="text1"/>
          <w:sz w:val="22"/>
        </w:rPr>
        <w:t xml:space="preserve"> - </w:t>
      </w:r>
      <w:proofErr w:type="spellStart"/>
      <w:r>
        <w:rPr>
          <w:rFonts w:ascii="Arial" w:hAnsi="Arial"/>
          <w:color w:val="000000" w:themeColor="text1"/>
          <w:sz w:val="22"/>
        </w:rPr>
        <w:t>Elif</w:t>
      </w:r>
      <w:proofErr w:type="spellEnd"/>
      <w:r>
        <w:rPr>
          <w:rFonts w:ascii="Arial" w:hAnsi="Arial"/>
          <w:color w:val="000000" w:themeColor="text1"/>
          <w:sz w:val="22"/>
        </w:rPr>
        <w:t xml:space="preserve"> en Turquía, comentó: “Nuestros clientes esperan únicamente la mejor calidad de los empaques flexibles y buscamos maximizar la eficiencia mientras los producimos. FLEXCEL NX </w:t>
      </w:r>
      <w:proofErr w:type="spellStart"/>
      <w:r>
        <w:rPr>
          <w:rFonts w:ascii="Arial" w:hAnsi="Arial"/>
          <w:color w:val="000000" w:themeColor="text1"/>
          <w:sz w:val="22"/>
        </w:rPr>
        <w:t>Plates</w:t>
      </w:r>
      <w:proofErr w:type="spellEnd"/>
      <w:r>
        <w:rPr>
          <w:rFonts w:ascii="Arial" w:hAnsi="Arial"/>
          <w:color w:val="000000" w:themeColor="text1"/>
          <w:sz w:val="22"/>
        </w:rPr>
        <w:t xml:space="preserve"> son por mucho las mejores planchas en su clase para ofrecer tanto la eficiencia como la calidad que estamos buscando. Trabajamos continuamente con el equipo de Miraclon para asegurarnos de que adoptamos las mejores prácticas para maximizar los beneficios que logramos con las planchas. </w:t>
      </w:r>
    </w:p>
    <w:p w14:paraId="6B38E4BE" w14:textId="77777777" w:rsidR="00DF434A" w:rsidRDefault="00DF434A" w:rsidP="00DE4632">
      <w:pPr>
        <w:pStyle w:val="Default"/>
        <w:widowControl w:val="0"/>
        <w:spacing w:line="360" w:lineRule="auto"/>
        <w:rPr>
          <w:rFonts w:ascii="Arial" w:hAnsi="Arial" w:cs="Arial"/>
          <w:color w:val="000000" w:themeColor="text1"/>
          <w:sz w:val="22"/>
          <w:szCs w:val="22"/>
        </w:rPr>
      </w:pPr>
    </w:p>
    <w:p w14:paraId="1C7CD5E5" w14:textId="00331472" w:rsidR="004450C8" w:rsidRDefault="00F33983" w:rsidP="00DE4632">
      <w:pPr>
        <w:pStyle w:val="Default"/>
        <w:widowControl w:val="0"/>
        <w:spacing w:line="360" w:lineRule="auto"/>
        <w:rPr>
          <w:rFonts w:ascii="Arial" w:hAnsi="Arial" w:cs="Arial"/>
          <w:color w:val="000000" w:themeColor="text1"/>
          <w:sz w:val="22"/>
          <w:szCs w:val="22"/>
        </w:rPr>
      </w:pPr>
      <w:r>
        <w:rPr>
          <w:rFonts w:ascii="Arial" w:hAnsi="Arial"/>
          <w:color w:val="000000" w:themeColor="text1"/>
          <w:sz w:val="22"/>
        </w:rPr>
        <w:t xml:space="preserve">Nuestros clientes están muy familiarizados con nuestros estándares de calidad. Las certificaciones, así como ser un usuario certificado de Miraclon, destacan públicamente nuestros estrictos procesos de producción, que incluyen la medición de los datos y la </w:t>
      </w:r>
      <w:r>
        <w:rPr>
          <w:rFonts w:ascii="Arial" w:hAnsi="Arial"/>
          <w:color w:val="000000" w:themeColor="text1"/>
          <w:sz w:val="22"/>
        </w:rPr>
        <w:lastRenderedPageBreak/>
        <w:t>forma en que impulsamos la eficiencia en la producción e impresión de empaques flexibles de alta calidad. Es la prueba de nuestros esfuerzos constantes para distinguirnos y lograr los estándares más altos en la producción de planchas y de impresión flexográfica”.</w:t>
      </w:r>
    </w:p>
    <w:p w14:paraId="372F10BB" w14:textId="23A1ACDA" w:rsidR="00F33983" w:rsidRDefault="00F33983" w:rsidP="00DE4632">
      <w:pPr>
        <w:pStyle w:val="Default"/>
        <w:widowControl w:val="0"/>
        <w:spacing w:line="360" w:lineRule="auto"/>
        <w:rPr>
          <w:rFonts w:ascii="Arial" w:hAnsi="Arial" w:cs="Arial"/>
          <w:color w:val="000000" w:themeColor="text1"/>
          <w:sz w:val="22"/>
          <w:szCs w:val="22"/>
        </w:rPr>
      </w:pPr>
    </w:p>
    <w:p w14:paraId="34A3D367" w14:textId="77777777" w:rsidR="004F5920" w:rsidRDefault="004F5920" w:rsidP="00DE4632">
      <w:pPr>
        <w:pStyle w:val="Default"/>
        <w:widowControl w:val="0"/>
        <w:spacing w:line="360" w:lineRule="auto"/>
        <w:rPr>
          <w:rFonts w:ascii="Arial" w:hAnsi="Arial" w:cs="Arial"/>
          <w:sz w:val="22"/>
          <w:szCs w:val="22"/>
        </w:rPr>
      </w:pPr>
    </w:p>
    <w:p w14:paraId="5446C14D" w14:textId="03428E82" w:rsidR="009F6C63" w:rsidRDefault="00282EA2" w:rsidP="007010BE">
      <w:pPr>
        <w:pStyle w:val="p1"/>
        <w:spacing w:line="360" w:lineRule="auto"/>
        <w:jc w:val="center"/>
        <w:rPr>
          <w:bCs/>
          <w:sz w:val="22"/>
          <w:szCs w:val="22"/>
        </w:rPr>
      </w:pPr>
      <w:r>
        <w:rPr>
          <w:sz w:val="22"/>
        </w:rPr>
        <w:t>FINES</w:t>
      </w:r>
    </w:p>
    <w:p w14:paraId="71423869" w14:textId="74FFA12A" w:rsidR="00E015EE" w:rsidRPr="00A35BC9" w:rsidRDefault="00E015EE" w:rsidP="007010BE">
      <w:pPr>
        <w:spacing w:line="360" w:lineRule="auto"/>
        <w:rPr>
          <w:rFonts w:ascii="Arial" w:hAnsi="Arial"/>
          <w:bCs/>
          <w:color w:val="FF0000"/>
        </w:rPr>
      </w:pPr>
      <w:r>
        <w:rPr>
          <w:rFonts w:ascii="Arial" w:hAnsi="Arial"/>
          <w:color w:val="FF0000"/>
        </w:rPr>
        <w:t xml:space="preserve"> </w:t>
      </w:r>
    </w:p>
    <w:p w14:paraId="466E0113" w14:textId="0C032F82" w:rsidR="00E130AD" w:rsidRPr="004E450E" w:rsidRDefault="00E130AD" w:rsidP="007010BE">
      <w:pPr>
        <w:spacing w:line="360" w:lineRule="auto"/>
        <w:rPr>
          <w:rFonts w:ascii="Arial" w:hAnsi="Arial" w:cs="Arial"/>
          <w:b/>
          <w:color w:val="000000" w:themeColor="text1"/>
        </w:rPr>
      </w:pPr>
      <w:r w:rsidRPr="004E450E">
        <w:rPr>
          <w:rFonts w:ascii="Arial" w:hAnsi="Arial" w:cs="Arial"/>
          <w:b/>
          <w:color w:val="000000" w:themeColor="text1"/>
        </w:rPr>
        <w:t xml:space="preserve">Pie de foto </w:t>
      </w:r>
    </w:p>
    <w:p w14:paraId="45D03F71" w14:textId="34F8E961" w:rsidR="00A1214E" w:rsidRPr="004E450E" w:rsidRDefault="00A1214E" w:rsidP="00A1214E">
      <w:pPr>
        <w:rPr>
          <w:rFonts w:ascii="Arial" w:hAnsi="Arial" w:cs="Arial"/>
          <w:color w:val="000000"/>
        </w:rPr>
      </w:pPr>
      <w:r w:rsidRPr="004E450E">
        <w:rPr>
          <w:rFonts w:ascii="Arial" w:hAnsi="Arial" w:cs="Arial"/>
          <w:color w:val="000000"/>
        </w:rPr>
        <w:t xml:space="preserve">Derek </w:t>
      </w:r>
      <w:proofErr w:type="spellStart"/>
      <w:r w:rsidRPr="004E450E">
        <w:rPr>
          <w:rFonts w:ascii="Arial" w:hAnsi="Arial" w:cs="Arial"/>
          <w:color w:val="000000"/>
        </w:rPr>
        <w:t>Peacock</w:t>
      </w:r>
      <w:proofErr w:type="spellEnd"/>
      <w:r w:rsidRPr="004E450E">
        <w:rPr>
          <w:rFonts w:ascii="Arial" w:hAnsi="Arial" w:cs="Arial"/>
          <w:color w:val="000000"/>
        </w:rPr>
        <w:t xml:space="preserve">, Director del Centro de Diseño, </w:t>
      </w:r>
      <w:proofErr w:type="spellStart"/>
      <w:r w:rsidRPr="004E450E">
        <w:rPr>
          <w:rFonts w:ascii="Arial" w:hAnsi="Arial" w:cs="Arial"/>
          <w:color w:val="000000"/>
        </w:rPr>
        <w:t>Huhtamaki</w:t>
      </w:r>
      <w:proofErr w:type="spellEnd"/>
      <w:r w:rsidRPr="004E450E">
        <w:rPr>
          <w:rFonts w:ascii="Arial" w:hAnsi="Arial" w:cs="Arial"/>
          <w:color w:val="000000"/>
        </w:rPr>
        <w:t xml:space="preserve"> </w:t>
      </w:r>
      <w:proofErr w:type="spellStart"/>
      <w:r w:rsidRPr="004E450E">
        <w:rPr>
          <w:rFonts w:ascii="Arial" w:hAnsi="Arial" w:cs="Arial"/>
          <w:color w:val="000000"/>
        </w:rPr>
        <w:t>Elif</w:t>
      </w:r>
      <w:proofErr w:type="spellEnd"/>
      <w:r w:rsidRPr="004E450E">
        <w:rPr>
          <w:rFonts w:ascii="Arial" w:hAnsi="Arial" w:cs="Arial"/>
          <w:color w:val="000000"/>
        </w:rPr>
        <w:t xml:space="preserve">, Estambul y El Cairo (izquierda) y </w:t>
      </w:r>
      <w:proofErr w:type="spellStart"/>
      <w:r w:rsidRPr="004E450E">
        <w:rPr>
          <w:rFonts w:ascii="Arial" w:hAnsi="Arial" w:cs="Arial"/>
          <w:color w:val="000000"/>
        </w:rPr>
        <w:t>Selçuk</w:t>
      </w:r>
      <w:proofErr w:type="spellEnd"/>
      <w:r w:rsidRPr="004E450E">
        <w:rPr>
          <w:rFonts w:ascii="Arial" w:hAnsi="Arial" w:cs="Arial"/>
          <w:color w:val="000000"/>
        </w:rPr>
        <w:t xml:space="preserve"> </w:t>
      </w:r>
      <w:proofErr w:type="spellStart"/>
      <w:r w:rsidRPr="004E450E">
        <w:rPr>
          <w:rFonts w:ascii="Arial" w:hAnsi="Arial" w:cs="Arial"/>
          <w:color w:val="000000"/>
        </w:rPr>
        <w:t>Yarangümelioglu</w:t>
      </w:r>
      <w:proofErr w:type="spellEnd"/>
      <w:r w:rsidRPr="004E450E">
        <w:rPr>
          <w:rFonts w:ascii="Arial" w:hAnsi="Arial" w:cs="Arial"/>
          <w:color w:val="000000"/>
        </w:rPr>
        <w:t xml:space="preserve">, CEO, </w:t>
      </w:r>
      <w:proofErr w:type="spellStart"/>
      <w:r w:rsidRPr="004E450E">
        <w:rPr>
          <w:rFonts w:ascii="Arial" w:hAnsi="Arial" w:cs="Arial"/>
          <w:color w:val="000000"/>
        </w:rPr>
        <w:t>Huhtamaki</w:t>
      </w:r>
      <w:proofErr w:type="spellEnd"/>
      <w:r w:rsidRPr="004E450E">
        <w:rPr>
          <w:rFonts w:ascii="Arial" w:hAnsi="Arial" w:cs="Arial"/>
          <w:color w:val="000000"/>
        </w:rPr>
        <w:t xml:space="preserve"> </w:t>
      </w:r>
      <w:proofErr w:type="spellStart"/>
      <w:r w:rsidRPr="004E450E">
        <w:rPr>
          <w:rFonts w:ascii="Arial" w:hAnsi="Arial" w:cs="Arial"/>
          <w:color w:val="000000"/>
        </w:rPr>
        <w:t>Elif</w:t>
      </w:r>
      <w:proofErr w:type="spellEnd"/>
      <w:r w:rsidRPr="004E450E">
        <w:rPr>
          <w:rFonts w:ascii="Arial" w:hAnsi="Arial" w:cs="Arial"/>
          <w:color w:val="000000"/>
        </w:rPr>
        <w:t xml:space="preserve"> Estambul y El Cairo (derecha)</w:t>
      </w:r>
    </w:p>
    <w:p w14:paraId="15FD3AF7" w14:textId="611EBB53" w:rsidR="00A1214E" w:rsidRPr="004E450E" w:rsidRDefault="00A1214E" w:rsidP="00A1214E">
      <w:pPr>
        <w:rPr>
          <w:rFonts w:ascii="Arial" w:hAnsi="Arial" w:cs="Arial"/>
          <w:color w:val="000000"/>
        </w:rPr>
      </w:pPr>
    </w:p>
    <w:p w14:paraId="270C1054" w14:textId="77777777" w:rsidR="000E705E" w:rsidRPr="004E450E" w:rsidRDefault="000E705E" w:rsidP="000E705E">
      <w:pPr>
        <w:rPr>
          <w:rFonts w:ascii="Arial" w:hAnsi="Arial" w:cs="Arial"/>
          <w:b/>
          <w:lang w:val="es-ES"/>
        </w:rPr>
      </w:pPr>
    </w:p>
    <w:p w14:paraId="56D878EB" w14:textId="33CEFEA7" w:rsidR="000E705E" w:rsidRPr="004E450E" w:rsidRDefault="000E705E" w:rsidP="000E705E">
      <w:pPr>
        <w:rPr>
          <w:rFonts w:ascii="Arial" w:hAnsi="Arial" w:cs="Arial"/>
          <w:b/>
          <w:bCs/>
        </w:rPr>
      </w:pPr>
      <w:r w:rsidRPr="004E450E">
        <w:rPr>
          <w:rFonts w:ascii="Arial" w:hAnsi="Arial" w:cs="Arial"/>
          <w:b/>
        </w:rPr>
        <w:t>Acerca de Miraclon</w:t>
      </w:r>
    </w:p>
    <w:p w14:paraId="49A3B845" w14:textId="77777777" w:rsidR="000E705E" w:rsidRPr="004E450E" w:rsidRDefault="000E705E" w:rsidP="000E705E">
      <w:pPr>
        <w:rPr>
          <w:rFonts w:ascii="Arial" w:hAnsi="Arial" w:cs="Arial"/>
        </w:rPr>
      </w:pPr>
      <w:r w:rsidRPr="004E450E">
        <w:rPr>
          <w:rFonts w:ascii="Arial" w:hAnsi="Arial" w:cs="Arial"/>
        </w:rPr>
        <w:t xml:space="preserve">Miraclon es el hogar de KODAK FLEXCEL </w:t>
      </w:r>
      <w:proofErr w:type="spellStart"/>
      <w:r w:rsidRPr="004E450E">
        <w:rPr>
          <w:rFonts w:ascii="Arial" w:hAnsi="Arial" w:cs="Arial"/>
        </w:rPr>
        <w:t>Solutions</w:t>
      </w:r>
      <w:proofErr w:type="spellEnd"/>
      <w:r w:rsidRPr="004E450E">
        <w:rPr>
          <w:rFonts w:ascii="Arial" w:hAnsi="Arial" w:cs="Arial"/>
        </w:rPr>
        <w:t xml:space="preserve">, que ha ayudado a transformar la impresión flexográfica durante más de una década. La tecnología, incluidos los sistemas FLEXCEL NX y FLEXCEL NX Ultra líderes de la industria, así como FLEXCEL NX </w:t>
      </w:r>
      <w:proofErr w:type="spellStart"/>
      <w:r w:rsidRPr="004E450E">
        <w:rPr>
          <w:rFonts w:ascii="Arial" w:hAnsi="Arial" w:cs="Arial"/>
        </w:rPr>
        <w:t>Print</w:t>
      </w:r>
      <w:proofErr w:type="spellEnd"/>
      <w:r w:rsidRPr="004E450E">
        <w:rPr>
          <w:rFonts w:ascii="Arial" w:hAnsi="Arial" w:cs="Arial"/>
        </w:rPr>
        <w:t xml:space="preserve"> Suite que posibilita la impresión </w:t>
      </w:r>
      <w:proofErr w:type="spellStart"/>
      <w:r w:rsidRPr="004E450E">
        <w:rPr>
          <w:rFonts w:ascii="Arial" w:hAnsi="Arial" w:cs="Arial"/>
        </w:rPr>
        <w:t>PureFlexo</w:t>
      </w:r>
      <w:proofErr w:type="spellEnd"/>
      <w:r w:rsidRPr="004E450E">
        <w:rPr>
          <w:rFonts w:ascii="Arial" w:hAnsi="Arial" w:cs="Arial"/>
        </w:rPr>
        <w:t>™, maximiza la eficiencia en la prensa, ofrece mayor calidad y los mejores resultados generales de su clase. Con un enfoque en la vanguardia de la ciencia de las imágenes, innovación y colaboración con socios y clientes del sector, Miraclon tiene un compromiso con el futuro de la flexografía y continúa en posición de liderar el cambio. Obtenga más información en</w:t>
      </w:r>
      <w:r w:rsidRPr="004E450E">
        <w:rPr>
          <w:rStyle w:val="Hyperlink"/>
          <w:rFonts w:ascii="Arial" w:hAnsi="Arial" w:cs="Arial"/>
        </w:rPr>
        <w:t xml:space="preserve"> </w:t>
      </w:r>
      <w:hyperlink r:id="rId11" w:history="1">
        <w:r w:rsidRPr="004E450E">
          <w:rPr>
            <w:rStyle w:val="Hyperlink"/>
            <w:rFonts w:ascii="Arial" w:hAnsi="Arial" w:cs="Arial"/>
          </w:rPr>
          <w:t>www.miraclon.com</w:t>
        </w:r>
      </w:hyperlink>
      <w:r w:rsidRPr="004E450E">
        <w:rPr>
          <w:rFonts w:ascii="Arial" w:hAnsi="Arial" w:cs="Arial"/>
        </w:rPr>
        <w:t xml:space="preserve">, y síganos en </w:t>
      </w:r>
      <w:hyperlink r:id="rId12" w:history="1">
        <w:r w:rsidRPr="004E450E">
          <w:rPr>
            <w:rStyle w:val="Hyperlink"/>
            <w:rFonts w:ascii="Arial" w:hAnsi="Arial" w:cs="Arial"/>
          </w:rPr>
          <w:t>LinkedIn</w:t>
        </w:r>
      </w:hyperlink>
      <w:r w:rsidRPr="004E450E">
        <w:rPr>
          <w:rFonts w:ascii="Arial" w:hAnsi="Arial" w:cs="Arial"/>
        </w:rPr>
        <w:t xml:space="preserve"> y </w:t>
      </w:r>
      <w:hyperlink r:id="rId13" w:history="1">
        <w:r w:rsidRPr="004E450E">
          <w:rPr>
            <w:rStyle w:val="Hyperlink"/>
            <w:rFonts w:ascii="Arial" w:hAnsi="Arial" w:cs="Arial"/>
          </w:rPr>
          <w:t>YouTube</w:t>
        </w:r>
      </w:hyperlink>
      <w:r w:rsidRPr="004E450E">
        <w:rPr>
          <w:rFonts w:ascii="Arial" w:hAnsi="Arial" w:cs="Arial"/>
        </w:rPr>
        <w:t>.</w:t>
      </w:r>
    </w:p>
    <w:p w14:paraId="09EBACF1" w14:textId="63914387" w:rsidR="009D2C80" w:rsidRPr="004E450E" w:rsidRDefault="009D2C80" w:rsidP="000E705E">
      <w:pPr>
        <w:rPr>
          <w:rFonts w:ascii="Arial" w:hAnsi="Arial" w:cs="Arial"/>
          <w:lang w:val="es-ES"/>
        </w:rPr>
      </w:pPr>
    </w:p>
    <w:sectPr w:rsidR="009D2C80" w:rsidRPr="004E450E" w:rsidSect="00E015EE">
      <w:headerReference w:type="default" r:id="rId14"/>
      <w:footerReference w:type="first" r:id="rId15"/>
      <w:pgSz w:w="12240" w:h="15840" w:code="1"/>
      <w:pgMar w:top="709" w:right="1890" w:bottom="1260" w:left="16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4D37B" w14:textId="77777777" w:rsidR="008423FE" w:rsidRDefault="008423FE">
      <w:r>
        <w:separator/>
      </w:r>
    </w:p>
  </w:endnote>
  <w:endnote w:type="continuationSeparator" w:id="0">
    <w:p w14:paraId="4E52B316" w14:textId="77777777" w:rsidR="008423FE" w:rsidRDefault="0084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2767" w14:textId="300C7EA5" w:rsidR="00E015EE" w:rsidRDefault="00E015EE">
    <w:pPr>
      <w:pStyle w:val="Footer"/>
    </w:pPr>
    <w:r>
      <w:rPr>
        <w:noProof/>
      </w:rPr>
      <w:drawing>
        <wp:anchor distT="0" distB="0" distL="114300" distR="114300" simplePos="0" relativeHeight="251658240" behindDoc="0" locked="0" layoutInCell="1" allowOverlap="1" wp14:anchorId="6A635FB3" wp14:editId="6C395E02">
          <wp:simplePos x="0" y="0"/>
          <wp:positionH relativeFrom="margin">
            <wp:align>right</wp:align>
          </wp:positionH>
          <wp:positionV relativeFrom="paragraph">
            <wp:posOffset>-193675</wp:posOffset>
          </wp:positionV>
          <wp:extent cx="550545" cy="54356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0545" cy="5435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9B0F" w14:textId="77777777" w:rsidR="008423FE" w:rsidRDefault="008423FE">
      <w:r>
        <w:rPr>
          <w:color w:val="000000"/>
        </w:rPr>
        <w:separator/>
      </w:r>
    </w:p>
  </w:footnote>
  <w:footnote w:type="continuationSeparator" w:id="0">
    <w:p w14:paraId="0659F2F1" w14:textId="77777777" w:rsidR="008423FE" w:rsidRDefault="00842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672029580">
    <w:abstractNumId w:val="12"/>
  </w:num>
  <w:num w:numId="2" w16cid:durableId="766654560">
    <w:abstractNumId w:val="20"/>
  </w:num>
  <w:num w:numId="3" w16cid:durableId="490407858">
    <w:abstractNumId w:val="5"/>
  </w:num>
  <w:num w:numId="4" w16cid:durableId="1175799221">
    <w:abstractNumId w:val="26"/>
  </w:num>
  <w:num w:numId="5" w16cid:durableId="1715302197">
    <w:abstractNumId w:val="22"/>
  </w:num>
  <w:num w:numId="6" w16cid:durableId="1019046607">
    <w:abstractNumId w:val="17"/>
  </w:num>
  <w:num w:numId="7" w16cid:durableId="894704700">
    <w:abstractNumId w:val="13"/>
  </w:num>
  <w:num w:numId="8" w16cid:durableId="1221984639">
    <w:abstractNumId w:val="14"/>
  </w:num>
  <w:num w:numId="9" w16cid:durableId="862480556">
    <w:abstractNumId w:val="11"/>
  </w:num>
  <w:num w:numId="10" w16cid:durableId="1807160897">
    <w:abstractNumId w:val="21"/>
  </w:num>
  <w:num w:numId="11" w16cid:durableId="1481994601">
    <w:abstractNumId w:val="2"/>
  </w:num>
  <w:num w:numId="12" w16cid:durableId="1868785206">
    <w:abstractNumId w:val="24"/>
  </w:num>
  <w:num w:numId="13" w16cid:durableId="128523978">
    <w:abstractNumId w:val="3"/>
  </w:num>
  <w:num w:numId="14" w16cid:durableId="70280319">
    <w:abstractNumId w:val="16"/>
  </w:num>
  <w:num w:numId="15" w16cid:durableId="900095956">
    <w:abstractNumId w:val="25"/>
  </w:num>
  <w:num w:numId="16" w16cid:durableId="1016274345">
    <w:abstractNumId w:val="0"/>
  </w:num>
  <w:num w:numId="17" w16cid:durableId="1545478649">
    <w:abstractNumId w:val="4"/>
  </w:num>
  <w:num w:numId="18" w16cid:durableId="914315760">
    <w:abstractNumId w:val="6"/>
  </w:num>
  <w:num w:numId="19" w16cid:durableId="1074008535">
    <w:abstractNumId w:val="15"/>
  </w:num>
  <w:num w:numId="20" w16cid:durableId="1001549528">
    <w:abstractNumId w:val="18"/>
  </w:num>
  <w:num w:numId="21" w16cid:durableId="1806656011">
    <w:abstractNumId w:val="23"/>
  </w:num>
  <w:num w:numId="22" w16cid:durableId="1653288683">
    <w:abstractNumId w:val="10"/>
  </w:num>
  <w:num w:numId="23" w16cid:durableId="1976904996">
    <w:abstractNumId w:val="28"/>
  </w:num>
  <w:num w:numId="24" w16cid:durableId="1166290085">
    <w:abstractNumId w:val="1"/>
  </w:num>
  <w:num w:numId="25" w16cid:durableId="1368068513">
    <w:abstractNumId w:val="9"/>
  </w:num>
  <w:num w:numId="26" w16cid:durableId="1613826025">
    <w:abstractNumId w:val="27"/>
  </w:num>
  <w:num w:numId="27" w16cid:durableId="658385654">
    <w:abstractNumId w:val="7"/>
  </w:num>
  <w:num w:numId="28" w16cid:durableId="769664667">
    <w:abstractNumId w:val="19"/>
  </w:num>
  <w:num w:numId="29" w16cid:durableId="584047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2E25"/>
    <w:rsid w:val="0000432D"/>
    <w:rsid w:val="000312A5"/>
    <w:rsid w:val="000353B7"/>
    <w:rsid w:val="00042705"/>
    <w:rsid w:val="00066F7A"/>
    <w:rsid w:val="000749F7"/>
    <w:rsid w:val="00086A35"/>
    <w:rsid w:val="00094119"/>
    <w:rsid w:val="000A2943"/>
    <w:rsid w:val="000A4379"/>
    <w:rsid w:val="000B02E4"/>
    <w:rsid w:val="000D52DC"/>
    <w:rsid w:val="000E176B"/>
    <w:rsid w:val="000E705E"/>
    <w:rsid w:val="00102CED"/>
    <w:rsid w:val="001109D7"/>
    <w:rsid w:val="0011429C"/>
    <w:rsid w:val="0011605E"/>
    <w:rsid w:val="00122615"/>
    <w:rsid w:val="001238C3"/>
    <w:rsid w:val="0012417F"/>
    <w:rsid w:val="00142ACB"/>
    <w:rsid w:val="00143978"/>
    <w:rsid w:val="00156921"/>
    <w:rsid w:val="0015779F"/>
    <w:rsid w:val="00161A56"/>
    <w:rsid w:val="0016622F"/>
    <w:rsid w:val="0018080D"/>
    <w:rsid w:val="001873C4"/>
    <w:rsid w:val="00190BEC"/>
    <w:rsid w:val="001939B6"/>
    <w:rsid w:val="001A1ECA"/>
    <w:rsid w:val="001A61E7"/>
    <w:rsid w:val="001B27F0"/>
    <w:rsid w:val="001B2B71"/>
    <w:rsid w:val="001B7683"/>
    <w:rsid w:val="001D48E5"/>
    <w:rsid w:val="001E04C4"/>
    <w:rsid w:val="00202D48"/>
    <w:rsid w:val="00212C6E"/>
    <w:rsid w:val="00212E9B"/>
    <w:rsid w:val="00251E71"/>
    <w:rsid w:val="002701DF"/>
    <w:rsid w:val="00277AD6"/>
    <w:rsid w:val="00282EA2"/>
    <w:rsid w:val="00291312"/>
    <w:rsid w:val="00291B51"/>
    <w:rsid w:val="002B1025"/>
    <w:rsid w:val="002C04EF"/>
    <w:rsid w:val="002E2ABE"/>
    <w:rsid w:val="003049E2"/>
    <w:rsid w:val="00306C5E"/>
    <w:rsid w:val="00316E1B"/>
    <w:rsid w:val="0031739A"/>
    <w:rsid w:val="00317FFD"/>
    <w:rsid w:val="00345986"/>
    <w:rsid w:val="00367091"/>
    <w:rsid w:val="00370FE2"/>
    <w:rsid w:val="003A1E33"/>
    <w:rsid w:val="003B3E76"/>
    <w:rsid w:val="003D5D87"/>
    <w:rsid w:val="003F1AE9"/>
    <w:rsid w:val="00410F0B"/>
    <w:rsid w:val="00420178"/>
    <w:rsid w:val="004272D7"/>
    <w:rsid w:val="00440F28"/>
    <w:rsid w:val="00443811"/>
    <w:rsid w:val="00444018"/>
    <w:rsid w:val="004450C8"/>
    <w:rsid w:val="00452E35"/>
    <w:rsid w:val="00455EAA"/>
    <w:rsid w:val="00464426"/>
    <w:rsid w:val="004648F8"/>
    <w:rsid w:val="00470F98"/>
    <w:rsid w:val="0047534A"/>
    <w:rsid w:val="00485B72"/>
    <w:rsid w:val="00494BC0"/>
    <w:rsid w:val="004972A0"/>
    <w:rsid w:val="004A69B8"/>
    <w:rsid w:val="004B378C"/>
    <w:rsid w:val="004C2B39"/>
    <w:rsid w:val="004C5B96"/>
    <w:rsid w:val="004E1CE5"/>
    <w:rsid w:val="004E450E"/>
    <w:rsid w:val="004F5920"/>
    <w:rsid w:val="00506882"/>
    <w:rsid w:val="005436E6"/>
    <w:rsid w:val="00545977"/>
    <w:rsid w:val="005600F0"/>
    <w:rsid w:val="005B0400"/>
    <w:rsid w:val="005C0194"/>
    <w:rsid w:val="005E384B"/>
    <w:rsid w:val="005E6666"/>
    <w:rsid w:val="005F2E82"/>
    <w:rsid w:val="005F61A7"/>
    <w:rsid w:val="0061094E"/>
    <w:rsid w:val="00610F69"/>
    <w:rsid w:val="00622A24"/>
    <w:rsid w:val="00625E38"/>
    <w:rsid w:val="00647611"/>
    <w:rsid w:val="00647688"/>
    <w:rsid w:val="00654BE1"/>
    <w:rsid w:val="00664458"/>
    <w:rsid w:val="006853B6"/>
    <w:rsid w:val="00685C8F"/>
    <w:rsid w:val="006918C4"/>
    <w:rsid w:val="006B3153"/>
    <w:rsid w:val="006B4411"/>
    <w:rsid w:val="006B6070"/>
    <w:rsid w:val="006C0966"/>
    <w:rsid w:val="006E53A3"/>
    <w:rsid w:val="006F0588"/>
    <w:rsid w:val="007010BE"/>
    <w:rsid w:val="00720A68"/>
    <w:rsid w:val="00752B94"/>
    <w:rsid w:val="00760867"/>
    <w:rsid w:val="00767A63"/>
    <w:rsid w:val="007709EC"/>
    <w:rsid w:val="007766E9"/>
    <w:rsid w:val="00777E30"/>
    <w:rsid w:val="00787FE8"/>
    <w:rsid w:val="007975BF"/>
    <w:rsid w:val="007A456E"/>
    <w:rsid w:val="007C441F"/>
    <w:rsid w:val="007D54EF"/>
    <w:rsid w:val="007E17F1"/>
    <w:rsid w:val="007E20D9"/>
    <w:rsid w:val="007E3697"/>
    <w:rsid w:val="007F1E75"/>
    <w:rsid w:val="00816A7F"/>
    <w:rsid w:val="00823B28"/>
    <w:rsid w:val="00837F0F"/>
    <w:rsid w:val="008423FE"/>
    <w:rsid w:val="00851FB9"/>
    <w:rsid w:val="00884D3E"/>
    <w:rsid w:val="008D539F"/>
    <w:rsid w:val="0090001A"/>
    <w:rsid w:val="0091091B"/>
    <w:rsid w:val="00920243"/>
    <w:rsid w:val="00931B83"/>
    <w:rsid w:val="009349C6"/>
    <w:rsid w:val="00950F06"/>
    <w:rsid w:val="0096042C"/>
    <w:rsid w:val="009752F4"/>
    <w:rsid w:val="0099424F"/>
    <w:rsid w:val="0099560C"/>
    <w:rsid w:val="009A6514"/>
    <w:rsid w:val="009A6FA7"/>
    <w:rsid w:val="009B295F"/>
    <w:rsid w:val="009B5204"/>
    <w:rsid w:val="009B78D8"/>
    <w:rsid w:val="009D1C0F"/>
    <w:rsid w:val="009D2749"/>
    <w:rsid w:val="009D2C80"/>
    <w:rsid w:val="009F5692"/>
    <w:rsid w:val="009F6C63"/>
    <w:rsid w:val="009F6D36"/>
    <w:rsid w:val="00A1214E"/>
    <w:rsid w:val="00A12A22"/>
    <w:rsid w:val="00A16CCC"/>
    <w:rsid w:val="00A255F7"/>
    <w:rsid w:val="00A266A2"/>
    <w:rsid w:val="00A26B3D"/>
    <w:rsid w:val="00A35BC9"/>
    <w:rsid w:val="00A44F45"/>
    <w:rsid w:val="00A45224"/>
    <w:rsid w:val="00A45797"/>
    <w:rsid w:val="00A55531"/>
    <w:rsid w:val="00A55D07"/>
    <w:rsid w:val="00A7463A"/>
    <w:rsid w:val="00A82EF3"/>
    <w:rsid w:val="00A944A2"/>
    <w:rsid w:val="00AA0CEE"/>
    <w:rsid w:val="00AA2081"/>
    <w:rsid w:val="00AB1DB6"/>
    <w:rsid w:val="00AC1D1A"/>
    <w:rsid w:val="00AD24A1"/>
    <w:rsid w:val="00AD6A44"/>
    <w:rsid w:val="00B1405A"/>
    <w:rsid w:val="00B35DCC"/>
    <w:rsid w:val="00B609B6"/>
    <w:rsid w:val="00B73004"/>
    <w:rsid w:val="00B732D7"/>
    <w:rsid w:val="00B804C8"/>
    <w:rsid w:val="00B80927"/>
    <w:rsid w:val="00B8367C"/>
    <w:rsid w:val="00B90421"/>
    <w:rsid w:val="00B920C3"/>
    <w:rsid w:val="00B94069"/>
    <w:rsid w:val="00B95305"/>
    <w:rsid w:val="00BA16E8"/>
    <w:rsid w:val="00BB6BC9"/>
    <w:rsid w:val="00BB7642"/>
    <w:rsid w:val="00BD5C6A"/>
    <w:rsid w:val="00BE4B8B"/>
    <w:rsid w:val="00BF18C8"/>
    <w:rsid w:val="00BF6053"/>
    <w:rsid w:val="00C1384D"/>
    <w:rsid w:val="00C13A36"/>
    <w:rsid w:val="00C159A9"/>
    <w:rsid w:val="00C20D67"/>
    <w:rsid w:val="00C64A3A"/>
    <w:rsid w:val="00C87C2B"/>
    <w:rsid w:val="00CA1621"/>
    <w:rsid w:val="00CA5BEB"/>
    <w:rsid w:val="00CB1E55"/>
    <w:rsid w:val="00CB455B"/>
    <w:rsid w:val="00CB6A63"/>
    <w:rsid w:val="00CD6920"/>
    <w:rsid w:val="00D13B84"/>
    <w:rsid w:val="00D22A9E"/>
    <w:rsid w:val="00D36BB5"/>
    <w:rsid w:val="00D57C83"/>
    <w:rsid w:val="00D772E0"/>
    <w:rsid w:val="00DA3AF6"/>
    <w:rsid w:val="00DA796B"/>
    <w:rsid w:val="00DB5EEF"/>
    <w:rsid w:val="00DD73A8"/>
    <w:rsid w:val="00DE4632"/>
    <w:rsid w:val="00DE5266"/>
    <w:rsid w:val="00DF0005"/>
    <w:rsid w:val="00DF434A"/>
    <w:rsid w:val="00E015EE"/>
    <w:rsid w:val="00E130AD"/>
    <w:rsid w:val="00E15379"/>
    <w:rsid w:val="00E2322D"/>
    <w:rsid w:val="00E56BD8"/>
    <w:rsid w:val="00E91D91"/>
    <w:rsid w:val="00EA2F4F"/>
    <w:rsid w:val="00EA72FD"/>
    <w:rsid w:val="00EB7A1B"/>
    <w:rsid w:val="00EC3C12"/>
    <w:rsid w:val="00EF734E"/>
    <w:rsid w:val="00F01569"/>
    <w:rsid w:val="00F167D3"/>
    <w:rsid w:val="00F2019E"/>
    <w:rsid w:val="00F33983"/>
    <w:rsid w:val="00F5119D"/>
    <w:rsid w:val="00F56F86"/>
    <w:rsid w:val="00F60498"/>
    <w:rsid w:val="00F76057"/>
    <w:rsid w:val="00F80745"/>
    <w:rsid w:val="00F91305"/>
    <w:rsid w:val="00FC23CC"/>
    <w:rsid w:val="00FD216A"/>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es-MX"/>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0A4379"/>
    <w:pPr>
      <w:widowControl/>
      <w:suppressAutoHyphens w:val="0"/>
      <w:autoSpaceDN/>
      <w:textAlignment w:val="auto"/>
    </w:pPr>
  </w:style>
  <w:style w:type="paragraph" w:styleId="NormalWeb">
    <w:name w:val="Normal (Web)"/>
    <w:basedOn w:val="Normal"/>
    <w:uiPriority w:val="99"/>
    <w:semiHidden/>
    <w:unhideWhenUsed/>
    <w:rsid w:val="00CD6920"/>
    <w:pPr>
      <w:widowControl/>
      <w:suppressAutoHyphens w:val="0"/>
      <w:autoSpaceDN/>
      <w:spacing w:before="100" w:beforeAutospacing="1" w:after="100" w:afterAutospacing="1"/>
      <w:textAlignment w:val="auto"/>
    </w:pPr>
    <w:rPr>
      <w:rFonts w:ascii="Calibri" w:eastAsiaTheme="minorHAnsi" w:hAnsi="Calibri" w:cs="Calibri"/>
      <w:kern w:val="0"/>
      <w:sz w:val="22"/>
      <w:szCs w:val="22"/>
    </w:rPr>
  </w:style>
  <w:style w:type="paragraph" w:customStyle="1" w:styleId="Standard">
    <w:name w:val="Standard"/>
    <w:rsid w:val="004E450E"/>
    <w:pPr>
      <w:widowControl/>
      <w:autoSpaceDN/>
      <w:textAlignment w:val="auto"/>
    </w:pPr>
    <w:rPr>
      <w:rFonts w:ascii="Verdana" w:eastAsia="Arial Unicode MS" w:hAnsi="Verdana" w:cs="Arial Unicode MS"/>
      <w:color w:val="000000"/>
      <w:u w:color="000000"/>
      <w:lang w:val="en-US"/>
    </w:rPr>
  </w:style>
  <w:style w:type="character" w:customStyle="1" w:styleId="Hyperlink0">
    <w:name w:val="Hyperlink.0"/>
    <w:basedOn w:val="DefaultParagraphFont"/>
    <w:rsid w:val="004E450E"/>
    <w:rPr>
      <w:rFonts w:ascii="Arial" w:eastAsia="Arial" w:hAnsi="Arial" w:cs="Arial" w:hint="default"/>
      <w:outline w:val="0"/>
      <w:shadow w:val="0"/>
      <w:emboss w:val="0"/>
      <w:imprint w:val="0"/>
      <w:color w:val="0563C1"/>
      <w:u w:val="single" w:color="0563C1"/>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20269">
      <w:bodyDiv w:val="1"/>
      <w:marLeft w:val="0"/>
      <w:marRight w:val="0"/>
      <w:marTop w:val="0"/>
      <w:marBottom w:val="0"/>
      <w:divBdr>
        <w:top w:val="none" w:sz="0" w:space="0" w:color="auto"/>
        <w:left w:val="none" w:sz="0" w:space="0" w:color="auto"/>
        <w:bottom w:val="none" w:sz="0" w:space="0" w:color="auto"/>
        <w:right w:val="none" w:sz="0" w:space="0" w:color="auto"/>
      </w:divBdr>
    </w:div>
    <w:div w:id="510219676">
      <w:bodyDiv w:val="1"/>
      <w:marLeft w:val="0"/>
      <w:marRight w:val="0"/>
      <w:marTop w:val="0"/>
      <w:marBottom w:val="0"/>
      <w:divBdr>
        <w:top w:val="none" w:sz="0" w:space="0" w:color="auto"/>
        <w:left w:val="none" w:sz="0" w:space="0" w:color="auto"/>
        <w:bottom w:val="none" w:sz="0" w:space="0" w:color="auto"/>
        <w:right w:val="none" w:sz="0" w:space="0" w:color="auto"/>
      </w:divBdr>
    </w:div>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151409230">
      <w:bodyDiv w:val="1"/>
      <w:marLeft w:val="0"/>
      <w:marRight w:val="0"/>
      <w:marTop w:val="0"/>
      <w:marBottom w:val="0"/>
      <w:divBdr>
        <w:top w:val="none" w:sz="0" w:space="0" w:color="auto"/>
        <w:left w:val="none" w:sz="0" w:space="0" w:color="auto"/>
        <w:bottom w:val="none" w:sz="0" w:space="0" w:color="auto"/>
        <w:right w:val="none" w:sz="0" w:space="0" w:color="auto"/>
      </w:divBdr>
    </w:div>
    <w:div w:id="1186754165">
      <w:bodyDiv w:val="1"/>
      <w:marLeft w:val="0"/>
      <w:marRight w:val="0"/>
      <w:marTop w:val="0"/>
      <w:marBottom w:val="0"/>
      <w:divBdr>
        <w:top w:val="none" w:sz="0" w:space="0" w:color="auto"/>
        <w:left w:val="none" w:sz="0" w:space="0" w:color="auto"/>
        <w:bottom w:val="none" w:sz="0" w:space="0" w:color="auto"/>
        <w:right w:val="none" w:sz="0" w:space="0" w:color="auto"/>
      </w:divBdr>
    </w:div>
    <w:div w:id="1643391000">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dcommunicationsltd273-my.sharepoint.com/personal/jfellows_adcomms_co_uk/Documents/Josie%20WIP/Miraclon/Customer%20Stories/Fathom%20Optics/iwood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12D5B-CAE9-184D-BC68-0F4EF830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2022-09-06T13:12:00Z</dcterms:created>
  <dcterms:modified xsi:type="dcterms:W3CDTF">2022-09-16T11:59:00Z</dcterms:modified>
</cp:coreProperties>
</file>