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F8E6" w14:textId="76A55131" w:rsidR="00C61EAC" w:rsidRPr="0037665E" w:rsidRDefault="009D7F4F" w:rsidP="0037665E">
      <w:pPr>
        <w:spacing w:after="0" w:line="240" w:lineRule="auto"/>
        <w:rPr>
          <w:rFonts w:ascii="Arial" w:hAnsi="Arial" w:cs="Arial"/>
          <w:sz w:val="20"/>
          <w:szCs w:val="20"/>
        </w:rPr>
      </w:pPr>
      <w:r>
        <w:rPr>
          <w:rFonts w:ascii="Arial" w:hAnsi="Arial"/>
          <w:noProof/>
          <w:sz w:val="20"/>
        </w:rPr>
        <w:drawing>
          <wp:anchor distT="0" distB="0" distL="114300" distR="114300" simplePos="0" relativeHeight="251659264" behindDoc="0" locked="0" layoutInCell="1" allowOverlap="1" wp14:anchorId="3F28B68B" wp14:editId="26D86DD0">
            <wp:simplePos x="0" y="0"/>
            <wp:positionH relativeFrom="page">
              <wp:align>right</wp:align>
            </wp:positionH>
            <wp:positionV relativeFrom="page">
              <wp:align>top</wp:align>
            </wp:positionV>
            <wp:extent cx="2295525" cy="103124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lum/>
                      <a:alphaModFix/>
                    </a:blip>
                    <a:srcRect b="17637"/>
                    <a:stretch/>
                  </pic:blipFill>
                  <pic:spPr bwMode="auto">
                    <a:xfrm>
                      <a:off x="0" y="0"/>
                      <a:ext cx="2295525" cy="1031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00C121" w14:textId="57F15EDE" w:rsidR="00C61EAC" w:rsidRPr="00742850" w:rsidRDefault="0037665E" w:rsidP="0037665E">
      <w:pPr>
        <w:spacing w:after="0" w:line="240" w:lineRule="auto"/>
        <w:rPr>
          <w:rFonts w:ascii="Arial" w:hAnsi="Arial" w:cs="Arial"/>
          <w:b/>
          <w:sz w:val="20"/>
          <w:szCs w:val="20"/>
        </w:rPr>
      </w:pPr>
      <w:r>
        <w:rPr>
          <w:rFonts w:ascii="Arial" w:hAnsi="Arial"/>
          <w:b/>
          <w:sz w:val="20"/>
        </w:rPr>
        <w:t>Profil gagnant des GFIA Awards</w:t>
      </w:r>
    </w:p>
    <w:p w14:paraId="4328FEAC" w14:textId="77777777" w:rsidR="00C61EAC" w:rsidRPr="00361732" w:rsidRDefault="00C61EAC" w:rsidP="0037665E">
      <w:pPr>
        <w:spacing w:after="0" w:line="240" w:lineRule="auto"/>
        <w:rPr>
          <w:rFonts w:ascii="Arial" w:hAnsi="Arial" w:cs="Arial"/>
          <w:sz w:val="20"/>
          <w:szCs w:val="20"/>
        </w:rPr>
      </w:pPr>
    </w:p>
    <w:p w14:paraId="148D2738" w14:textId="77777777" w:rsidR="00361732" w:rsidRDefault="00361732" w:rsidP="00361732">
      <w:pPr>
        <w:pStyle w:val="Standard1"/>
        <w:rPr>
          <w:rFonts w:ascii="Arial" w:hAnsi="Arial" w:cs="Arial"/>
          <w:szCs w:val="20"/>
        </w:rPr>
      </w:pPr>
      <w:r>
        <w:rPr>
          <w:rFonts w:ascii="Arial" w:hAnsi="Arial"/>
        </w:rPr>
        <w:t>Contacts presse :</w:t>
      </w:r>
    </w:p>
    <w:p w14:paraId="06265867" w14:textId="77777777" w:rsidR="00361732" w:rsidRDefault="00361732" w:rsidP="00361732">
      <w:pPr>
        <w:pStyle w:val="Standard1"/>
        <w:rPr>
          <w:rFonts w:ascii="Arial" w:hAnsi="Arial" w:cs="Arial"/>
          <w:szCs w:val="20"/>
        </w:rPr>
      </w:pPr>
      <w:r>
        <w:rPr>
          <w:rFonts w:ascii="Arial" w:hAnsi="Arial" w:cs="Arial"/>
          <w:color w:val="000000"/>
        </w:rPr>
        <w:t xml:space="preserve">Elni Van Rensburg – +1 830 317 0950 – </w:t>
      </w:r>
      <w:hyperlink r:id="rId7" w:history="1">
        <w:r>
          <w:rPr>
            <w:rStyle w:val="Hyperlink"/>
            <w:rFonts w:ascii="Arial" w:hAnsi="Arial" w:cs="Arial"/>
          </w:rPr>
          <w:t>elni.vanrensburg@miraclon.com</w:t>
        </w:r>
      </w:hyperlink>
      <w:r>
        <w:rPr>
          <w:rFonts w:ascii="Arial" w:hAnsi="Arial" w:cs="Arial"/>
          <w:color w:val="000000"/>
        </w:rPr>
        <w:t xml:space="preserve"> </w:t>
      </w:r>
      <w:r>
        <w:rPr>
          <w:rFonts w:ascii="Arial" w:hAnsi="Arial" w:cs="Arial"/>
          <w:color w:val="000000"/>
        </w:rPr>
        <w:br/>
      </w:r>
      <w:r>
        <w:rPr>
          <w:rFonts w:ascii="Arial" w:hAnsi="Arial" w:cs="Arial"/>
          <w:bCs/>
          <w:kern w:val="0"/>
        </w:rPr>
        <w:t xml:space="preserve">AD Communications: Imogen Woods – +44 (0)1372 464 470 – </w:t>
      </w:r>
      <w:hyperlink r:id="rId8" w:history="1">
        <w:r>
          <w:rPr>
            <w:rStyle w:val="Hyperlink"/>
            <w:rFonts w:ascii="Arial" w:hAnsi="Arial" w:cs="Arial"/>
            <w:bCs/>
            <w:kern w:val="0"/>
          </w:rPr>
          <w:t>iwoods@adcomms.co.uk</w:t>
        </w:r>
      </w:hyperlink>
    </w:p>
    <w:p w14:paraId="081A1EB8" w14:textId="77777777" w:rsidR="00361732" w:rsidRDefault="00361732" w:rsidP="00361732">
      <w:pPr>
        <w:pStyle w:val="Standard1"/>
        <w:rPr>
          <w:rFonts w:ascii="Arial" w:hAnsi="Arial" w:cs="Arial"/>
          <w:color w:val="000000"/>
          <w:szCs w:val="20"/>
        </w:rPr>
      </w:pPr>
    </w:p>
    <w:p w14:paraId="6D192E44" w14:textId="630AFD87" w:rsidR="00361732" w:rsidRDefault="00361732" w:rsidP="00361732">
      <w:pPr>
        <w:pStyle w:val="Standard1"/>
        <w:spacing w:line="360" w:lineRule="auto"/>
        <w:rPr>
          <w:rFonts w:ascii="Arial" w:hAnsi="Arial" w:cs="Arial"/>
          <w:color w:val="000000"/>
          <w:szCs w:val="20"/>
        </w:rPr>
      </w:pPr>
      <w:r>
        <w:rPr>
          <w:rFonts w:ascii="Arial" w:hAnsi="Arial"/>
          <w:color w:val="000000"/>
        </w:rPr>
        <w:t>21</w:t>
      </w:r>
      <w:r>
        <w:rPr>
          <w:rFonts w:ascii="Arial" w:hAnsi="Arial"/>
          <w:color w:val="000000"/>
        </w:rPr>
        <w:t> octobre 2022</w:t>
      </w:r>
    </w:p>
    <w:p w14:paraId="2C5DF631" w14:textId="2AD3A9E5" w:rsidR="00F35CAB" w:rsidRPr="00742850" w:rsidRDefault="00F35CAB" w:rsidP="0037665E">
      <w:pPr>
        <w:spacing w:after="0" w:line="360" w:lineRule="auto"/>
        <w:rPr>
          <w:rFonts w:ascii="Arial" w:hAnsi="Arial" w:cs="Arial"/>
        </w:rPr>
      </w:pPr>
    </w:p>
    <w:p w14:paraId="5264A5DD" w14:textId="3BE12F14" w:rsidR="00416486" w:rsidRDefault="00416486" w:rsidP="0037665E">
      <w:pPr>
        <w:spacing w:after="0" w:line="360" w:lineRule="auto"/>
        <w:jc w:val="center"/>
        <w:rPr>
          <w:rFonts w:ascii="Arial" w:hAnsi="Arial" w:cs="Arial"/>
          <w:b/>
          <w:bCs/>
          <w:sz w:val="26"/>
          <w:szCs w:val="26"/>
        </w:rPr>
      </w:pPr>
      <w:proofErr w:type="spellStart"/>
      <w:r>
        <w:rPr>
          <w:rFonts w:ascii="Arial" w:hAnsi="Arial"/>
          <w:b/>
          <w:sz w:val="26"/>
        </w:rPr>
        <w:t>Numex</w:t>
      </w:r>
      <w:proofErr w:type="spellEnd"/>
      <w:r>
        <w:rPr>
          <w:rFonts w:ascii="Arial" w:hAnsi="Arial"/>
          <w:b/>
          <w:sz w:val="26"/>
        </w:rPr>
        <w:t xml:space="preserve"> Blocks prend la voie « directe sur tube » vers le succès</w:t>
      </w:r>
    </w:p>
    <w:p w14:paraId="6BBD2031" w14:textId="77777777" w:rsidR="008C797B" w:rsidRDefault="00416486" w:rsidP="0037665E">
      <w:pPr>
        <w:spacing w:after="0" w:line="360" w:lineRule="auto"/>
        <w:jc w:val="center"/>
        <w:rPr>
          <w:rFonts w:ascii="Arial" w:hAnsi="Arial" w:cs="Arial"/>
          <w:i/>
          <w:iCs/>
          <w:sz w:val="24"/>
          <w:szCs w:val="24"/>
        </w:rPr>
      </w:pPr>
      <w:r>
        <w:rPr>
          <w:rFonts w:ascii="Arial" w:hAnsi="Arial"/>
          <w:i/>
          <w:sz w:val="24"/>
        </w:rPr>
        <w:t>Conversion gravure-</w:t>
      </w:r>
      <w:proofErr w:type="spellStart"/>
      <w:r>
        <w:rPr>
          <w:rFonts w:ascii="Arial" w:hAnsi="Arial"/>
          <w:i/>
          <w:sz w:val="24"/>
        </w:rPr>
        <w:t>flexo</w:t>
      </w:r>
      <w:proofErr w:type="spellEnd"/>
      <w:r>
        <w:rPr>
          <w:rFonts w:ascii="Arial" w:hAnsi="Arial"/>
          <w:i/>
          <w:sz w:val="24"/>
        </w:rPr>
        <w:t xml:space="preserve"> boostée par la productivité et la qualité de la </w:t>
      </w:r>
    </w:p>
    <w:p w14:paraId="78199314" w14:textId="35A3E60C" w:rsidR="0037665E" w:rsidRPr="00416486" w:rsidRDefault="0037665E" w:rsidP="0037665E">
      <w:pPr>
        <w:spacing w:after="0" w:line="360" w:lineRule="auto"/>
        <w:jc w:val="center"/>
        <w:rPr>
          <w:rFonts w:ascii="Arial" w:hAnsi="Arial" w:cs="Arial"/>
          <w:i/>
          <w:iCs/>
          <w:sz w:val="24"/>
          <w:szCs w:val="24"/>
        </w:rPr>
      </w:pPr>
      <w:r>
        <w:rPr>
          <w:rFonts w:ascii="Arial" w:hAnsi="Arial"/>
          <w:i/>
          <w:sz w:val="24"/>
        </w:rPr>
        <w:t xml:space="preserve">technologie KODAK FLEXCEL NX </w:t>
      </w:r>
    </w:p>
    <w:p w14:paraId="4DDBB458" w14:textId="77777777" w:rsidR="0037665E" w:rsidRPr="00361732" w:rsidRDefault="0037665E" w:rsidP="0037665E">
      <w:pPr>
        <w:spacing w:after="0" w:line="360" w:lineRule="auto"/>
        <w:rPr>
          <w:rFonts w:ascii="Arial" w:hAnsi="Arial" w:cs="Arial"/>
          <w:bCs/>
        </w:rPr>
      </w:pPr>
    </w:p>
    <w:p w14:paraId="00A265B8" w14:textId="77777777" w:rsidR="0037665E" w:rsidRPr="0037665E" w:rsidRDefault="0037665E" w:rsidP="0037665E">
      <w:pPr>
        <w:autoSpaceDE w:val="0"/>
        <w:autoSpaceDN w:val="0"/>
        <w:adjustRightInd w:val="0"/>
        <w:spacing w:after="0" w:line="360" w:lineRule="auto"/>
        <w:rPr>
          <w:rFonts w:ascii="Arial" w:hAnsi="Arial" w:cs="Arial"/>
        </w:rPr>
      </w:pPr>
      <w:r>
        <w:rPr>
          <w:rFonts w:ascii="Arial" w:hAnsi="Arial"/>
        </w:rPr>
        <w:t xml:space="preserve">Lorsqu’on lui demande ce qui distingue </w:t>
      </w:r>
      <w:proofErr w:type="spellStart"/>
      <w:r>
        <w:rPr>
          <w:rFonts w:ascii="Arial" w:hAnsi="Arial"/>
        </w:rPr>
        <w:t>Numex</w:t>
      </w:r>
      <w:proofErr w:type="spellEnd"/>
      <w:r>
        <w:rPr>
          <w:rFonts w:ascii="Arial" w:hAnsi="Arial"/>
        </w:rPr>
        <w:t xml:space="preserve"> Blocks de ses concurrents, son propriétaire </w:t>
      </w:r>
      <w:proofErr w:type="spellStart"/>
      <w:r>
        <w:rPr>
          <w:rFonts w:ascii="Arial" w:hAnsi="Arial"/>
        </w:rPr>
        <w:t>Nitin</w:t>
      </w:r>
      <w:proofErr w:type="spellEnd"/>
      <w:r>
        <w:rPr>
          <w:rFonts w:ascii="Arial" w:hAnsi="Arial"/>
        </w:rPr>
        <w:t xml:space="preserve"> </w:t>
      </w:r>
      <w:proofErr w:type="spellStart"/>
      <w:r>
        <w:rPr>
          <w:rFonts w:ascii="Arial" w:hAnsi="Arial"/>
        </w:rPr>
        <w:t>Patil</w:t>
      </w:r>
      <w:proofErr w:type="spellEnd"/>
      <w:r>
        <w:rPr>
          <w:rFonts w:ascii="Arial" w:hAnsi="Arial"/>
        </w:rPr>
        <w:t xml:space="preserve"> répond : « Nous traitons chaque tâche d’impression comme si c’était la première pour chaque client. Tous nos clients méritent que nous leur accordions le même temps et la même attention.</w:t>
      </w:r>
    </w:p>
    <w:p w14:paraId="7124FDD6" w14:textId="77777777" w:rsidR="0037665E" w:rsidRPr="00361732" w:rsidRDefault="0037665E" w:rsidP="0037665E">
      <w:pPr>
        <w:autoSpaceDE w:val="0"/>
        <w:autoSpaceDN w:val="0"/>
        <w:adjustRightInd w:val="0"/>
        <w:spacing w:after="0" w:line="360" w:lineRule="auto"/>
        <w:rPr>
          <w:rFonts w:ascii="Arial" w:hAnsi="Arial" w:cs="Arial"/>
        </w:rPr>
      </w:pPr>
    </w:p>
    <w:p w14:paraId="108E4E5D" w14:textId="1EDBA480" w:rsidR="0037665E" w:rsidRDefault="00F44E11" w:rsidP="0037665E">
      <w:pPr>
        <w:autoSpaceDE w:val="0"/>
        <w:autoSpaceDN w:val="0"/>
        <w:adjustRightInd w:val="0"/>
        <w:spacing w:after="0" w:line="360" w:lineRule="auto"/>
        <w:rPr>
          <w:rFonts w:ascii="Arial" w:hAnsi="Arial" w:cs="Arial"/>
          <w:bCs/>
        </w:rPr>
      </w:pPr>
      <w:r>
        <w:rPr>
          <w:rFonts w:ascii="Arial" w:hAnsi="Arial"/>
        </w:rPr>
        <w:t xml:space="preserve">C’est cette stratégie qui a fait la longévité et le succès de notre société implantée à Mumbai depuis plus de trente ans, société récemment récompensée par un Silver </w:t>
      </w:r>
      <w:proofErr w:type="spellStart"/>
      <w:r>
        <w:rPr>
          <w:rFonts w:ascii="Arial" w:hAnsi="Arial"/>
        </w:rPr>
        <w:t>Award</w:t>
      </w:r>
      <w:proofErr w:type="spellEnd"/>
      <w:r>
        <w:rPr>
          <w:rFonts w:ascii="Arial" w:hAnsi="Arial"/>
        </w:rPr>
        <w:t xml:space="preserve"> au salon GFIA (Global </w:t>
      </w:r>
      <w:proofErr w:type="spellStart"/>
      <w:r>
        <w:rPr>
          <w:rFonts w:ascii="Arial" w:hAnsi="Arial"/>
        </w:rPr>
        <w:t>Flexo</w:t>
      </w:r>
      <w:proofErr w:type="spellEnd"/>
      <w:r>
        <w:rPr>
          <w:rFonts w:ascii="Arial" w:hAnsi="Arial"/>
        </w:rPr>
        <w:t xml:space="preserve"> Innovation Awards) sponsorisé par Miraclon et primée pour son excellent procédé de conversion gravure-</w:t>
      </w:r>
      <w:proofErr w:type="spellStart"/>
      <w:r>
        <w:rPr>
          <w:rFonts w:ascii="Arial" w:hAnsi="Arial"/>
        </w:rPr>
        <w:t>flexo</w:t>
      </w:r>
      <w:proofErr w:type="spellEnd"/>
      <w:r>
        <w:rPr>
          <w:rFonts w:ascii="Arial" w:hAnsi="Arial"/>
        </w:rPr>
        <w:t xml:space="preserve"> avec une impression « directe sur tube » de plus de 2 500 produits cosmétiques. En quoi les KODAK FLEXCEL NX Plates ont-elles contribué à ce succès ? </w:t>
      </w:r>
      <w:proofErr w:type="spellStart"/>
      <w:r>
        <w:rPr>
          <w:rFonts w:ascii="Arial" w:hAnsi="Arial"/>
        </w:rPr>
        <w:t>Nitin</w:t>
      </w:r>
      <w:proofErr w:type="spellEnd"/>
      <w:r>
        <w:rPr>
          <w:rFonts w:ascii="Arial" w:hAnsi="Arial"/>
        </w:rPr>
        <w:t xml:space="preserve"> </w:t>
      </w:r>
      <w:proofErr w:type="spellStart"/>
      <w:r>
        <w:rPr>
          <w:rFonts w:ascii="Arial" w:hAnsi="Arial"/>
        </w:rPr>
        <w:t>Patil</w:t>
      </w:r>
      <w:proofErr w:type="spellEnd"/>
      <w:r>
        <w:rPr>
          <w:rFonts w:ascii="Arial" w:hAnsi="Arial"/>
        </w:rPr>
        <w:t xml:space="preserve"> estime que l’impression directe sur tube n’aurait jamais été possible sans ces plaques, tant en termes de productivité que de qualité. « Le fabricant a obtenu d’excellents résultats avec une linéature de 150-175 </w:t>
      </w:r>
      <w:proofErr w:type="spellStart"/>
      <w:r>
        <w:rPr>
          <w:rFonts w:ascii="Arial" w:hAnsi="Arial"/>
        </w:rPr>
        <w:t>lpi</w:t>
      </w:r>
      <w:proofErr w:type="spellEnd"/>
      <w:r>
        <w:rPr>
          <w:rFonts w:ascii="Arial" w:hAnsi="Arial"/>
        </w:rPr>
        <w:t xml:space="preserve"> et une vitesse de production de130 tubes par minute. »</w:t>
      </w:r>
    </w:p>
    <w:p w14:paraId="38DA06B2" w14:textId="77777777" w:rsidR="00F93468" w:rsidRPr="00361732" w:rsidRDefault="00F93468" w:rsidP="0037665E">
      <w:pPr>
        <w:autoSpaceDE w:val="0"/>
        <w:autoSpaceDN w:val="0"/>
        <w:adjustRightInd w:val="0"/>
        <w:spacing w:after="0" w:line="360" w:lineRule="auto"/>
        <w:rPr>
          <w:rFonts w:ascii="Arial" w:hAnsi="Arial" w:cs="Arial"/>
        </w:rPr>
      </w:pPr>
    </w:p>
    <w:p w14:paraId="47E67035" w14:textId="49715DEB" w:rsidR="0037665E" w:rsidRPr="0037665E" w:rsidRDefault="0037665E" w:rsidP="0037665E">
      <w:pPr>
        <w:autoSpaceDE w:val="0"/>
        <w:autoSpaceDN w:val="0"/>
        <w:adjustRightInd w:val="0"/>
        <w:spacing w:after="0" w:line="360" w:lineRule="auto"/>
        <w:rPr>
          <w:rFonts w:ascii="Arial" w:hAnsi="Arial" w:cs="Arial"/>
          <w:b/>
          <w:bCs/>
        </w:rPr>
      </w:pPr>
      <w:r>
        <w:rPr>
          <w:rFonts w:ascii="Arial" w:hAnsi="Arial"/>
          <w:b/>
        </w:rPr>
        <w:t>Le choix de la flexographie</w:t>
      </w:r>
    </w:p>
    <w:p w14:paraId="6E6B82E2" w14:textId="0E1793E5" w:rsidR="0037665E" w:rsidRPr="0037665E" w:rsidRDefault="00BB2AE7" w:rsidP="0037665E">
      <w:pPr>
        <w:autoSpaceDE w:val="0"/>
        <w:autoSpaceDN w:val="0"/>
        <w:adjustRightInd w:val="0"/>
        <w:spacing w:after="0" w:line="360" w:lineRule="auto"/>
        <w:rPr>
          <w:rFonts w:ascii="Arial" w:hAnsi="Arial" w:cs="Arial"/>
        </w:rPr>
      </w:pPr>
      <w:proofErr w:type="spellStart"/>
      <w:r>
        <w:rPr>
          <w:rFonts w:ascii="Arial" w:hAnsi="Arial"/>
        </w:rPr>
        <w:t>Numex</w:t>
      </w:r>
      <w:proofErr w:type="spellEnd"/>
      <w:r>
        <w:rPr>
          <w:rFonts w:ascii="Arial" w:hAnsi="Arial"/>
        </w:rPr>
        <w:t xml:space="preserve"> a investi dans un premier KODAK FLEXCEL NX System en 2014. Par la suite, d’autres FLEXCEL NX </w:t>
      </w:r>
      <w:proofErr w:type="spellStart"/>
      <w:r>
        <w:rPr>
          <w:rFonts w:ascii="Arial" w:hAnsi="Arial"/>
        </w:rPr>
        <w:t>Systems</w:t>
      </w:r>
      <w:proofErr w:type="spellEnd"/>
      <w:r>
        <w:rPr>
          <w:rFonts w:ascii="Arial" w:hAnsi="Arial"/>
        </w:rPr>
        <w:t xml:space="preserve"> ont été installés dans les filiales </w:t>
      </w:r>
      <w:proofErr w:type="spellStart"/>
      <w:r>
        <w:rPr>
          <w:rFonts w:ascii="Arial" w:hAnsi="Arial"/>
        </w:rPr>
        <w:t>Numex</w:t>
      </w:r>
      <w:proofErr w:type="spellEnd"/>
      <w:r>
        <w:rPr>
          <w:rFonts w:ascii="Arial" w:hAnsi="Arial"/>
        </w:rPr>
        <w:t xml:space="preserve">, </w:t>
      </w:r>
      <w:proofErr w:type="spellStart"/>
      <w:r>
        <w:rPr>
          <w:rFonts w:ascii="Arial" w:hAnsi="Arial"/>
        </w:rPr>
        <w:t>Nuflex</w:t>
      </w:r>
      <w:proofErr w:type="spellEnd"/>
      <w:r>
        <w:rPr>
          <w:rFonts w:ascii="Arial" w:hAnsi="Arial"/>
        </w:rPr>
        <w:t xml:space="preserve"> Graphics à Pune et NS Digital </w:t>
      </w:r>
      <w:proofErr w:type="spellStart"/>
      <w:r>
        <w:rPr>
          <w:rFonts w:ascii="Arial" w:hAnsi="Arial"/>
        </w:rPr>
        <w:t>Flexo</w:t>
      </w:r>
      <w:proofErr w:type="spellEnd"/>
      <w:r>
        <w:rPr>
          <w:rFonts w:ascii="Arial" w:hAnsi="Arial"/>
        </w:rPr>
        <w:t xml:space="preserve"> à Hyderabad. Ce quadruple investissement, avec un cinquième système prévu pour la fin de l’année, illustre parfaitement la totale confiance de M. </w:t>
      </w:r>
      <w:proofErr w:type="spellStart"/>
      <w:r>
        <w:rPr>
          <w:rFonts w:ascii="Arial" w:hAnsi="Arial"/>
        </w:rPr>
        <w:t>Patil</w:t>
      </w:r>
      <w:proofErr w:type="spellEnd"/>
      <w:r>
        <w:rPr>
          <w:rFonts w:ascii="Arial" w:hAnsi="Arial"/>
        </w:rPr>
        <w:t xml:space="preserve"> dans la flexographie et la technologie FLEXCEL NX, notamment pour l’emballage souple. « Cette transition de la gravure à la flexographie a lieu dans toute l’Asie, pas uniquement en Inde » explique-t-il, ajoutant qu’un des arguments en faveur de la </w:t>
      </w:r>
      <w:proofErr w:type="spellStart"/>
      <w:r>
        <w:rPr>
          <w:rFonts w:ascii="Arial" w:hAnsi="Arial"/>
        </w:rPr>
        <w:t>flexo</w:t>
      </w:r>
      <w:proofErr w:type="spellEnd"/>
      <w:r>
        <w:rPr>
          <w:rFonts w:ascii="Arial" w:hAnsi="Arial"/>
        </w:rPr>
        <w:t>, et plus particulièrement des FLEXCEL NX Plates, est l’excellente qualité des impressions sur des supports PE plus durables et plus fins, là où la gravure montre ses limites. »</w:t>
      </w:r>
    </w:p>
    <w:p w14:paraId="2D890BF1" w14:textId="77777777" w:rsidR="0037665E" w:rsidRPr="00361732" w:rsidRDefault="0037665E" w:rsidP="0037665E">
      <w:pPr>
        <w:autoSpaceDE w:val="0"/>
        <w:autoSpaceDN w:val="0"/>
        <w:adjustRightInd w:val="0"/>
        <w:spacing w:after="0" w:line="360" w:lineRule="auto"/>
        <w:rPr>
          <w:rFonts w:ascii="Arial" w:hAnsi="Arial" w:cs="Arial"/>
        </w:rPr>
      </w:pPr>
    </w:p>
    <w:p w14:paraId="7D9BEF7E" w14:textId="0C32FA3A" w:rsidR="0037665E" w:rsidRPr="0037665E" w:rsidRDefault="0037665E" w:rsidP="0037665E">
      <w:pPr>
        <w:autoSpaceDE w:val="0"/>
        <w:autoSpaceDN w:val="0"/>
        <w:adjustRightInd w:val="0"/>
        <w:spacing w:after="0" w:line="360" w:lineRule="auto"/>
        <w:rPr>
          <w:rFonts w:ascii="Arial" w:hAnsi="Arial" w:cs="Arial"/>
          <w:bCs/>
        </w:rPr>
      </w:pPr>
      <w:r>
        <w:rPr>
          <w:rFonts w:ascii="Arial" w:hAnsi="Arial"/>
        </w:rPr>
        <w:t xml:space="preserve">Le procédé récompensé offre précisément ces avantages, de même que le traitement minutieux de chaque tâche d’impression qui est la marque de fabrique de </w:t>
      </w:r>
      <w:proofErr w:type="spellStart"/>
      <w:r>
        <w:rPr>
          <w:rFonts w:ascii="Arial" w:hAnsi="Arial"/>
        </w:rPr>
        <w:t>Numex</w:t>
      </w:r>
      <w:proofErr w:type="spellEnd"/>
      <w:r>
        <w:rPr>
          <w:rFonts w:ascii="Arial" w:hAnsi="Arial"/>
        </w:rPr>
        <w:t xml:space="preserve">. Le projet avait notamment pour principal objectif d’améliorer les performances de durabilité d’un nombre important de produits cosmétiques présentés en tube, plus de 2 500 au total. Selon M. </w:t>
      </w:r>
      <w:proofErr w:type="spellStart"/>
      <w:r>
        <w:rPr>
          <w:rFonts w:ascii="Arial" w:hAnsi="Arial"/>
        </w:rPr>
        <w:t>Patil</w:t>
      </w:r>
      <w:proofErr w:type="spellEnd"/>
      <w:r>
        <w:rPr>
          <w:rFonts w:ascii="Arial" w:hAnsi="Arial"/>
        </w:rPr>
        <w:t> :  « La gravure et les autres processus de production impliquent généralement d’imprimer sur des supports à base de plastique, qui sont ensuite appliqués sur les tubes. C’est une étape de production supplémentaire qui ajoute en complexité aussi lors du recyclage lorsqu’il faut séparer les étiquettes et les manchons des tubes.</w:t>
      </w:r>
    </w:p>
    <w:p w14:paraId="623FB7E5" w14:textId="77777777" w:rsidR="0037665E" w:rsidRPr="00361732" w:rsidRDefault="0037665E" w:rsidP="0037665E">
      <w:pPr>
        <w:autoSpaceDE w:val="0"/>
        <w:autoSpaceDN w:val="0"/>
        <w:adjustRightInd w:val="0"/>
        <w:spacing w:after="0" w:line="360" w:lineRule="auto"/>
        <w:rPr>
          <w:rFonts w:ascii="Arial" w:hAnsi="Arial" w:cs="Arial"/>
          <w:bCs/>
        </w:rPr>
      </w:pPr>
    </w:p>
    <w:p w14:paraId="417EC799" w14:textId="686D7ADD" w:rsidR="0037665E" w:rsidRPr="0037665E" w:rsidRDefault="000B49C9" w:rsidP="0037665E">
      <w:pPr>
        <w:autoSpaceDE w:val="0"/>
        <w:autoSpaceDN w:val="0"/>
        <w:adjustRightInd w:val="0"/>
        <w:spacing w:after="0" w:line="360" w:lineRule="auto"/>
        <w:rPr>
          <w:rFonts w:ascii="Arial" w:hAnsi="Arial" w:cs="Arial"/>
          <w:bCs/>
        </w:rPr>
      </w:pPr>
      <w:r>
        <w:rPr>
          <w:rFonts w:ascii="Arial" w:hAnsi="Arial"/>
        </w:rPr>
        <w:t xml:space="preserve">Le client de </w:t>
      </w:r>
      <w:proofErr w:type="spellStart"/>
      <w:r>
        <w:rPr>
          <w:rFonts w:ascii="Arial" w:hAnsi="Arial"/>
        </w:rPr>
        <w:t>Numex</w:t>
      </w:r>
      <w:proofErr w:type="spellEnd"/>
      <w:r>
        <w:rPr>
          <w:rFonts w:ascii="Arial" w:hAnsi="Arial"/>
        </w:rPr>
        <w:t xml:space="preserve">, un fabricant d’emballages, souhaitait un flux d’impression « directe sur tube » afin d’éliminer la variabilité du recyclage et de s’affranchir d’une étape de production. C’est dans ce but qu’il a investi dans une presse rotative 13 couleurs. Des discussions se sont ensuite tenues entre </w:t>
      </w:r>
      <w:proofErr w:type="spellStart"/>
      <w:r>
        <w:rPr>
          <w:rFonts w:ascii="Arial" w:hAnsi="Arial"/>
        </w:rPr>
        <w:t>Numex</w:t>
      </w:r>
      <w:proofErr w:type="spellEnd"/>
      <w:r>
        <w:rPr>
          <w:rFonts w:ascii="Arial" w:hAnsi="Arial"/>
        </w:rPr>
        <w:t xml:space="preserve">, le fabricant et le propriétaire de la marque afin d’identifier les éventuels problèmes posés par les produits eux-mêmes et le flux de production planifié, notamment l’obtention des couleurs exactes des teintes de peau, la meilleure façon de renouveler l’emballage dans son ensemble tout en assurant une mise en route et des changements rapides étant donné le nombre important de références. « Les tubes sont faits de PE Standard coextrudé ce qui est un véritable défi pour un imprimeur », explique </w:t>
      </w:r>
      <w:proofErr w:type="spellStart"/>
      <w:r>
        <w:rPr>
          <w:rFonts w:ascii="Arial" w:hAnsi="Arial"/>
        </w:rPr>
        <w:t>Nitin</w:t>
      </w:r>
      <w:proofErr w:type="spellEnd"/>
      <w:r>
        <w:rPr>
          <w:rFonts w:ascii="Arial" w:hAnsi="Arial"/>
        </w:rPr>
        <w:t xml:space="preserve"> </w:t>
      </w:r>
      <w:proofErr w:type="spellStart"/>
      <w:r>
        <w:rPr>
          <w:rFonts w:ascii="Arial" w:hAnsi="Arial"/>
        </w:rPr>
        <w:t>Patil</w:t>
      </w:r>
      <w:proofErr w:type="spellEnd"/>
      <w:r>
        <w:rPr>
          <w:rFonts w:ascii="Arial" w:hAnsi="Arial"/>
        </w:rPr>
        <w:t>. « En outre, la plupart des tâches d’impression comportaient huit couleurs et chaque référence incluait différents éléments de design. Par exemple, un revêtement mat pour un aspect et un toucher premium, des effets de vernissage et des éléments graphiques avec des dégradés complexes s’estompant pour devenir quasiment transparents. C’est avec les FLEXCEL NX Plates que tous ces revêtements et vernis ont été réalisés. Nous avons beaucoup travaillé pour savoir comment rendre au mieux et même améliorer les couleurs et les textures. »</w:t>
      </w:r>
    </w:p>
    <w:p w14:paraId="37BC18A4" w14:textId="77777777" w:rsidR="0037665E" w:rsidRPr="00361732" w:rsidRDefault="0037665E" w:rsidP="0037665E">
      <w:pPr>
        <w:autoSpaceDE w:val="0"/>
        <w:autoSpaceDN w:val="0"/>
        <w:adjustRightInd w:val="0"/>
        <w:spacing w:after="0" w:line="360" w:lineRule="auto"/>
        <w:rPr>
          <w:rFonts w:ascii="Arial" w:hAnsi="Arial" w:cs="Arial"/>
          <w:bCs/>
        </w:rPr>
      </w:pPr>
    </w:p>
    <w:p w14:paraId="460A202C" w14:textId="77777777" w:rsidR="0037665E" w:rsidRPr="0037665E" w:rsidRDefault="0037665E" w:rsidP="0037665E">
      <w:pPr>
        <w:autoSpaceDE w:val="0"/>
        <w:autoSpaceDN w:val="0"/>
        <w:adjustRightInd w:val="0"/>
        <w:spacing w:after="0" w:line="360" w:lineRule="auto"/>
        <w:rPr>
          <w:rFonts w:ascii="Arial" w:hAnsi="Arial" w:cs="Arial"/>
          <w:b/>
        </w:rPr>
      </w:pPr>
      <w:r>
        <w:rPr>
          <w:rFonts w:ascii="Arial" w:hAnsi="Arial"/>
          <w:b/>
        </w:rPr>
        <w:t>« Des couleurs fantastiques, des images sublimées »</w:t>
      </w:r>
    </w:p>
    <w:p w14:paraId="15EEA080" w14:textId="2640CDA1" w:rsidR="0037665E" w:rsidRPr="0037665E" w:rsidRDefault="0037665E" w:rsidP="0037665E">
      <w:pPr>
        <w:autoSpaceDE w:val="0"/>
        <w:autoSpaceDN w:val="0"/>
        <w:adjustRightInd w:val="0"/>
        <w:spacing w:after="0" w:line="360" w:lineRule="auto"/>
        <w:rPr>
          <w:rFonts w:ascii="Arial" w:hAnsi="Arial" w:cs="Arial"/>
          <w:bCs/>
        </w:rPr>
      </w:pPr>
      <w:r>
        <w:rPr>
          <w:rFonts w:ascii="Arial" w:hAnsi="Arial"/>
        </w:rPr>
        <w:t xml:space="preserve">« Le travail a payé et les juges du GFIA ont reconnu l’excellence d’un processus de production rationalisé qui permet d’améliorer la durabilité des produits, de même que l’excellente qualité d’impression, la richesse des couleurs et la beauté des images ». </w:t>
      </w:r>
    </w:p>
    <w:p w14:paraId="7E900438" w14:textId="77777777" w:rsidR="0037665E" w:rsidRPr="00361732" w:rsidRDefault="0037665E" w:rsidP="0037665E">
      <w:pPr>
        <w:autoSpaceDE w:val="0"/>
        <w:autoSpaceDN w:val="0"/>
        <w:adjustRightInd w:val="0"/>
        <w:spacing w:after="0" w:line="360" w:lineRule="auto"/>
        <w:rPr>
          <w:rFonts w:ascii="Arial" w:hAnsi="Arial" w:cs="Arial"/>
          <w:bCs/>
        </w:rPr>
      </w:pPr>
    </w:p>
    <w:p w14:paraId="75FEE19C" w14:textId="38AD6287" w:rsidR="0037665E" w:rsidRPr="0037665E" w:rsidRDefault="0005398C" w:rsidP="0037665E">
      <w:pPr>
        <w:autoSpaceDE w:val="0"/>
        <w:autoSpaceDN w:val="0"/>
        <w:adjustRightInd w:val="0"/>
        <w:spacing w:after="0" w:line="360" w:lineRule="auto"/>
        <w:rPr>
          <w:rFonts w:ascii="Arial" w:hAnsi="Arial" w:cs="Arial"/>
          <w:bCs/>
        </w:rPr>
      </w:pPr>
      <w:r>
        <w:rPr>
          <w:rFonts w:ascii="Arial" w:hAnsi="Arial"/>
        </w:rPr>
        <w:t xml:space="preserve">Productivité et qualité, c’est précisément ce que </w:t>
      </w:r>
      <w:proofErr w:type="spellStart"/>
      <w:r>
        <w:rPr>
          <w:rFonts w:ascii="Arial" w:hAnsi="Arial"/>
        </w:rPr>
        <w:t>Numex</w:t>
      </w:r>
      <w:proofErr w:type="spellEnd"/>
      <w:r>
        <w:rPr>
          <w:rFonts w:ascii="Arial" w:hAnsi="Arial"/>
        </w:rPr>
        <w:t xml:space="preserve"> attendait de son </w:t>
      </w:r>
      <w:proofErr w:type="spellStart"/>
      <w:r>
        <w:rPr>
          <w:rFonts w:ascii="Arial" w:hAnsi="Arial"/>
        </w:rPr>
        <w:t>FlEXCEL</w:t>
      </w:r>
      <w:proofErr w:type="spellEnd"/>
      <w:r>
        <w:rPr>
          <w:rFonts w:ascii="Arial" w:hAnsi="Arial"/>
        </w:rPr>
        <w:t xml:space="preserve"> NX System. </w:t>
      </w:r>
      <w:proofErr w:type="spellStart"/>
      <w:r>
        <w:rPr>
          <w:rFonts w:ascii="Arial" w:hAnsi="Arial"/>
        </w:rPr>
        <w:t>Nitin</w:t>
      </w:r>
      <w:proofErr w:type="spellEnd"/>
      <w:r>
        <w:rPr>
          <w:rFonts w:ascii="Arial" w:hAnsi="Arial"/>
        </w:rPr>
        <w:t xml:space="preserve"> </w:t>
      </w:r>
      <w:proofErr w:type="spellStart"/>
      <w:r>
        <w:rPr>
          <w:rFonts w:ascii="Arial" w:hAnsi="Arial"/>
        </w:rPr>
        <w:t>Patil</w:t>
      </w:r>
      <w:proofErr w:type="spellEnd"/>
      <w:r>
        <w:rPr>
          <w:rFonts w:ascii="Arial" w:hAnsi="Arial"/>
        </w:rPr>
        <w:t xml:space="preserve"> le rappelle : «En 2014, et en grande partie grâce à la technologie FLEXCEL NX, les marques ont reconnu que la </w:t>
      </w:r>
      <w:proofErr w:type="spellStart"/>
      <w:r>
        <w:rPr>
          <w:rFonts w:ascii="Arial" w:hAnsi="Arial"/>
        </w:rPr>
        <w:t>flexo</w:t>
      </w:r>
      <w:proofErr w:type="spellEnd"/>
      <w:r>
        <w:rPr>
          <w:rFonts w:ascii="Arial" w:hAnsi="Arial"/>
        </w:rPr>
        <w:t xml:space="preserve"> produisait des impressions de grande qualité, que c’était aussi une solution plus économique et productive qui permettait de limiter les coûts sur la chaîne </w:t>
      </w:r>
      <w:r>
        <w:rPr>
          <w:rFonts w:ascii="Arial" w:hAnsi="Arial"/>
        </w:rPr>
        <w:lastRenderedPageBreak/>
        <w:t xml:space="preserve">logistique. Un facteur déterminant ! » M. </w:t>
      </w:r>
      <w:proofErr w:type="spellStart"/>
      <w:r>
        <w:rPr>
          <w:rFonts w:ascii="Arial" w:hAnsi="Arial"/>
        </w:rPr>
        <w:t>Patil</w:t>
      </w:r>
      <w:proofErr w:type="spellEnd"/>
      <w:r>
        <w:rPr>
          <w:rFonts w:ascii="Arial" w:hAnsi="Arial"/>
        </w:rPr>
        <w:t xml:space="preserve"> poursuit en détaillant les avantages de la technologie FLEXCEL NX, notamment la précision des images, la vitesse de repérage et d’accès aux couleurs pour un calage plus rapide, la durabilité et une productivité considérablement améliorée : « Les temps d’imagerie, de traitement et de séchage sont bien plus rapides. Le temps global de production pour une plaque est de 30 à 35 minutes inférieur aux autres technologies. » </w:t>
      </w:r>
    </w:p>
    <w:p w14:paraId="4E2214E2" w14:textId="77777777" w:rsidR="0037665E" w:rsidRPr="00361732" w:rsidRDefault="0037665E" w:rsidP="0037665E">
      <w:pPr>
        <w:autoSpaceDE w:val="0"/>
        <w:autoSpaceDN w:val="0"/>
        <w:adjustRightInd w:val="0"/>
        <w:spacing w:after="0" w:line="360" w:lineRule="auto"/>
        <w:rPr>
          <w:rFonts w:ascii="Arial" w:hAnsi="Arial" w:cs="Arial"/>
          <w:bCs/>
        </w:rPr>
      </w:pPr>
    </w:p>
    <w:p w14:paraId="0C87FBA5" w14:textId="390034BF" w:rsidR="0037665E" w:rsidRPr="0037665E" w:rsidRDefault="0037665E" w:rsidP="0037665E">
      <w:pPr>
        <w:autoSpaceDE w:val="0"/>
        <w:autoSpaceDN w:val="0"/>
        <w:adjustRightInd w:val="0"/>
        <w:spacing w:after="0" w:line="360" w:lineRule="auto"/>
        <w:rPr>
          <w:rFonts w:ascii="Arial" w:hAnsi="Arial" w:cs="Arial"/>
          <w:bCs/>
        </w:rPr>
      </w:pPr>
      <w:r>
        <w:rPr>
          <w:rFonts w:ascii="Arial" w:hAnsi="Arial"/>
        </w:rPr>
        <w:t xml:space="preserve">Il ajoute que « plus de 60 % de la production </w:t>
      </w:r>
      <w:proofErr w:type="spellStart"/>
      <w:r>
        <w:rPr>
          <w:rFonts w:ascii="Arial" w:hAnsi="Arial"/>
        </w:rPr>
        <w:t>Numex</w:t>
      </w:r>
      <w:proofErr w:type="spellEnd"/>
      <w:r>
        <w:rPr>
          <w:rFonts w:ascii="Arial" w:hAnsi="Arial"/>
        </w:rPr>
        <w:t xml:space="preserve">, les étiquettes comme les emballages souples, se fait dorénavant avec les FLEXCEL NX Plates » et souligne également les multiples fonctions avancées Miraclon de texturisation de la surface des plaques qui garantissent des « densités d’encre optimales, quel que soit le support. La solution contrôle le flux d’encre comme un mini </w:t>
      </w:r>
      <w:proofErr w:type="spellStart"/>
      <w:r>
        <w:rPr>
          <w:rFonts w:ascii="Arial" w:hAnsi="Arial"/>
        </w:rPr>
        <w:t>anilox</w:t>
      </w:r>
      <w:proofErr w:type="spellEnd"/>
      <w:r>
        <w:rPr>
          <w:rFonts w:ascii="Arial" w:hAnsi="Arial"/>
        </w:rPr>
        <w:t> ! Nous pouvons sans crainte gérer les demi-teintes dans les tâches utilisant des linéatures de 175-200 </w:t>
      </w:r>
      <w:proofErr w:type="spellStart"/>
      <w:r>
        <w:rPr>
          <w:rFonts w:ascii="Arial" w:hAnsi="Arial"/>
        </w:rPr>
        <w:t>lpi</w:t>
      </w:r>
      <w:proofErr w:type="spellEnd"/>
      <w:r>
        <w:rPr>
          <w:rFonts w:ascii="Arial" w:hAnsi="Arial"/>
        </w:rPr>
        <w:t>, et il est aussi possible de réaliser des dégradés lissés. »</w:t>
      </w:r>
    </w:p>
    <w:p w14:paraId="57CD9EBD" w14:textId="77777777" w:rsidR="0037665E" w:rsidRPr="00361732" w:rsidRDefault="0037665E" w:rsidP="0037665E">
      <w:pPr>
        <w:autoSpaceDE w:val="0"/>
        <w:autoSpaceDN w:val="0"/>
        <w:adjustRightInd w:val="0"/>
        <w:spacing w:after="0" w:line="360" w:lineRule="auto"/>
        <w:rPr>
          <w:rFonts w:ascii="Arial" w:hAnsi="Arial" w:cs="Arial"/>
          <w:bCs/>
        </w:rPr>
      </w:pPr>
    </w:p>
    <w:p w14:paraId="064FA28A" w14:textId="2CF489FC" w:rsidR="0037665E" w:rsidRPr="0037665E" w:rsidRDefault="0037665E" w:rsidP="0037665E">
      <w:pPr>
        <w:autoSpaceDE w:val="0"/>
        <w:autoSpaceDN w:val="0"/>
        <w:adjustRightInd w:val="0"/>
        <w:spacing w:after="0" w:line="360" w:lineRule="auto"/>
        <w:rPr>
          <w:rFonts w:ascii="Arial" w:hAnsi="Arial" w:cs="Arial"/>
          <w:bCs/>
        </w:rPr>
      </w:pPr>
      <w:proofErr w:type="spellStart"/>
      <w:r>
        <w:rPr>
          <w:rFonts w:ascii="Arial" w:hAnsi="Arial"/>
        </w:rPr>
        <w:t>Nitin</w:t>
      </w:r>
      <w:proofErr w:type="spellEnd"/>
      <w:r>
        <w:rPr>
          <w:rFonts w:ascii="Arial" w:hAnsi="Arial"/>
        </w:rPr>
        <w:t xml:space="preserve"> </w:t>
      </w:r>
      <w:proofErr w:type="spellStart"/>
      <w:r>
        <w:rPr>
          <w:rFonts w:ascii="Arial" w:hAnsi="Arial"/>
        </w:rPr>
        <w:t>Patil</w:t>
      </w:r>
      <w:proofErr w:type="spellEnd"/>
      <w:r>
        <w:rPr>
          <w:rFonts w:ascii="Arial" w:hAnsi="Arial"/>
        </w:rPr>
        <w:t xml:space="preserve"> salue également la qualité du support fourni par Miraclon depuis qu’il utilise la solution </w:t>
      </w:r>
      <w:proofErr w:type="spellStart"/>
      <w:r>
        <w:rPr>
          <w:rFonts w:ascii="Arial" w:hAnsi="Arial"/>
        </w:rPr>
        <w:t>FlEXCEL</w:t>
      </w:r>
      <w:proofErr w:type="spellEnd"/>
      <w:r>
        <w:rPr>
          <w:rFonts w:ascii="Arial" w:hAnsi="Arial"/>
        </w:rPr>
        <w:t xml:space="preserve"> NX. « Ils font vraiment un travail remarquable. Nous bénéficions d’un service complet de support, pour le matériel comme les logiciels, de l’étalonnage à l’optimisation des flux de production, et cela nous aide vraiment à développer nos activités. »</w:t>
      </w:r>
    </w:p>
    <w:p w14:paraId="381B2E7F" w14:textId="6EB4D981" w:rsidR="0037665E" w:rsidRPr="00361732" w:rsidRDefault="0037665E" w:rsidP="0037665E">
      <w:pPr>
        <w:autoSpaceDE w:val="0"/>
        <w:autoSpaceDN w:val="0"/>
        <w:adjustRightInd w:val="0"/>
        <w:spacing w:after="0" w:line="360" w:lineRule="auto"/>
        <w:rPr>
          <w:rFonts w:ascii="Arial" w:hAnsi="Arial" w:cs="Arial"/>
          <w:bCs/>
        </w:rPr>
      </w:pPr>
    </w:p>
    <w:p w14:paraId="2B092845" w14:textId="6D0EC4B1" w:rsidR="001310EF" w:rsidRPr="001310EF" w:rsidRDefault="001310EF" w:rsidP="0037665E">
      <w:pPr>
        <w:autoSpaceDE w:val="0"/>
        <w:autoSpaceDN w:val="0"/>
        <w:adjustRightInd w:val="0"/>
        <w:spacing w:after="0" w:line="360" w:lineRule="auto"/>
        <w:rPr>
          <w:rFonts w:ascii="Arial" w:hAnsi="Arial" w:cs="Arial"/>
          <w:b/>
        </w:rPr>
      </w:pPr>
      <w:r>
        <w:rPr>
          <w:rFonts w:ascii="Arial" w:hAnsi="Arial"/>
          <w:b/>
        </w:rPr>
        <w:t xml:space="preserve">Un avenir radieux avec la </w:t>
      </w:r>
      <w:proofErr w:type="spellStart"/>
      <w:r>
        <w:rPr>
          <w:rFonts w:ascii="Arial" w:hAnsi="Arial"/>
          <w:b/>
        </w:rPr>
        <w:t>flexo</w:t>
      </w:r>
      <w:proofErr w:type="spellEnd"/>
    </w:p>
    <w:p w14:paraId="05D397FB" w14:textId="75A77E6A" w:rsidR="0037665E" w:rsidRPr="0037665E" w:rsidRDefault="0037665E" w:rsidP="0037665E">
      <w:pPr>
        <w:autoSpaceDE w:val="0"/>
        <w:autoSpaceDN w:val="0"/>
        <w:adjustRightInd w:val="0"/>
        <w:spacing w:after="0" w:line="360" w:lineRule="auto"/>
        <w:rPr>
          <w:rFonts w:ascii="Arial" w:hAnsi="Arial" w:cs="Arial"/>
          <w:bCs/>
        </w:rPr>
      </w:pPr>
      <w:r>
        <w:rPr>
          <w:rFonts w:ascii="Arial" w:hAnsi="Arial"/>
        </w:rPr>
        <w:t xml:space="preserve">Quant à l’avenir, </w:t>
      </w:r>
      <w:proofErr w:type="spellStart"/>
      <w:r>
        <w:rPr>
          <w:rFonts w:ascii="Arial" w:hAnsi="Arial"/>
        </w:rPr>
        <w:t>Numex</w:t>
      </w:r>
      <w:proofErr w:type="spellEnd"/>
      <w:r>
        <w:rPr>
          <w:rFonts w:ascii="Arial" w:hAnsi="Arial"/>
        </w:rPr>
        <w:t xml:space="preserve"> ambitionne de consolider sa position de leader pour la </w:t>
      </w:r>
      <w:proofErr w:type="spellStart"/>
      <w:r>
        <w:rPr>
          <w:rFonts w:ascii="Arial" w:hAnsi="Arial"/>
        </w:rPr>
        <w:t>flexo</w:t>
      </w:r>
      <w:proofErr w:type="spellEnd"/>
      <w:r>
        <w:rPr>
          <w:rFonts w:ascii="Arial" w:hAnsi="Arial"/>
        </w:rPr>
        <w:t xml:space="preserve"> notamment par une collaboration plus étroite avec les clients dès les premiers stades des projets. « De cette façon, nous pensons pouvoir aider les marques à réduire encore plus leurs délais. » L’essentiel est de se tenir informés sur les dernières technologies. Cela nous permettra de poursuivre notre croissance, et croître est indispensable si nous voulons que l’avenir nous sourie. »</w:t>
      </w:r>
    </w:p>
    <w:p w14:paraId="217A237F" w14:textId="77777777" w:rsidR="0037665E" w:rsidRPr="00361732" w:rsidRDefault="0037665E" w:rsidP="0037665E">
      <w:pPr>
        <w:autoSpaceDE w:val="0"/>
        <w:autoSpaceDN w:val="0"/>
        <w:adjustRightInd w:val="0"/>
        <w:spacing w:after="0" w:line="360" w:lineRule="auto"/>
        <w:rPr>
          <w:rFonts w:ascii="Arial" w:hAnsi="Arial" w:cs="Arial"/>
          <w:bCs/>
        </w:rPr>
      </w:pPr>
    </w:p>
    <w:p w14:paraId="65B07229" w14:textId="27DB5932" w:rsidR="0037665E" w:rsidRDefault="0037665E" w:rsidP="0037665E">
      <w:pPr>
        <w:autoSpaceDE w:val="0"/>
        <w:autoSpaceDN w:val="0"/>
        <w:adjustRightInd w:val="0"/>
        <w:spacing w:after="0" w:line="360" w:lineRule="auto"/>
        <w:rPr>
          <w:rFonts w:ascii="Arial" w:hAnsi="Arial" w:cs="Arial"/>
        </w:rPr>
      </w:pPr>
      <w:r>
        <w:rPr>
          <w:rFonts w:ascii="Arial" w:hAnsi="Arial"/>
        </w:rPr>
        <w:t xml:space="preserve">En adéquation avec cette stratégie, </w:t>
      </w:r>
      <w:proofErr w:type="spellStart"/>
      <w:r>
        <w:rPr>
          <w:rFonts w:ascii="Arial" w:hAnsi="Arial"/>
        </w:rPr>
        <w:t>Numex</w:t>
      </w:r>
      <w:proofErr w:type="spellEnd"/>
      <w:r>
        <w:rPr>
          <w:rFonts w:ascii="Arial" w:hAnsi="Arial"/>
        </w:rPr>
        <w:t xml:space="preserve"> a investi dans le nouveau KODAK FLEXCEL NX Central Software. Développé par Miraclon spécifiquement pour aider les clients dans leur quête d’efficacité, de réduction des déchets et d’économies de main-d’œuvre, ce logiciel est adapté au FLEXCEL NX System et permet l’automatisation de toute la production de plaques, tout en continuant à utiliser les multiples fonctions avancées de texturisation de la surface.</w:t>
      </w:r>
    </w:p>
    <w:p w14:paraId="24F9910F" w14:textId="77777777" w:rsidR="005170A0" w:rsidRPr="00361732" w:rsidRDefault="005170A0" w:rsidP="0037665E">
      <w:pPr>
        <w:autoSpaceDE w:val="0"/>
        <w:autoSpaceDN w:val="0"/>
        <w:adjustRightInd w:val="0"/>
        <w:spacing w:after="0" w:line="360" w:lineRule="auto"/>
        <w:rPr>
          <w:rFonts w:ascii="Arial" w:hAnsi="Arial" w:cs="Arial"/>
        </w:rPr>
      </w:pPr>
    </w:p>
    <w:p w14:paraId="7078F7CC" w14:textId="61DAA8C2" w:rsidR="0037665E" w:rsidRPr="0037665E" w:rsidRDefault="001310EF" w:rsidP="0037665E">
      <w:pPr>
        <w:spacing w:after="0" w:line="360" w:lineRule="auto"/>
        <w:rPr>
          <w:rFonts w:ascii="Arial" w:hAnsi="Arial" w:cs="Arial"/>
        </w:rPr>
      </w:pPr>
      <w:proofErr w:type="spellStart"/>
      <w:r>
        <w:rPr>
          <w:rFonts w:ascii="Arial" w:hAnsi="Arial"/>
        </w:rPr>
        <w:t>Nitin</w:t>
      </w:r>
      <w:proofErr w:type="spellEnd"/>
      <w:r>
        <w:rPr>
          <w:rFonts w:ascii="Arial" w:hAnsi="Arial"/>
        </w:rPr>
        <w:t xml:space="preserve"> </w:t>
      </w:r>
      <w:proofErr w:type="spellStart"/>
      <w:r>
        <w:rPr>
          <w:rFonts w:ascii="Arial" w:hAnsi="Arial"/>
        </w:rPr>
        <w:t>Patil</w:t>
      </w:r>
      <w:proofErr w:type="spellEnd"/>
      <w:r>
        <w:rPr>
          <w:rFonts w:ascii="Arial" w:hAnsi="Arial"/>
        </w:rPr>
        <w:t xml:space="preserve"> conclut : « Avec le FLEXCEL NX Central Software, nous pouvons exécuter la fonction de mise en page des plaques plus vite que si nous le faisions manuellement, ce qui simplifie le regroupement des tâches. Nous avons facilement pu gagner 50 % de temps avec la fonction </w:t>
      </w:r>
      <w:r>
        <w:rPr>
          <w:rFonts w:ascii="Arial" w:hAnsi="Arial"/>
        </w:rPr>
        <w:lastRenderedPageBreak/>
        <w:t>d’automatisation de la mise en page des plaques. Nous ne devons plus nous en soucier, nous n’avons plus rien à planifier : il suffit de charger les fichiers sur le logiciel FLEXCEL NX Central et c’est lui qui s’occupe automatiquement de la mise en page de la plaque.</w:t>
      </w:r>
    </w:p>
    <w:p w14:paraId="6BC73F73" w14:textId="77777777" w:rsidR="0037665E" w:rsidRPr="00361732" w:rsidRDefault="0037665E" w:rsidP="0037665E">
      <w:pPr>
        <w:autoSpaceDE w:val="0"/>
        <w:autoSpaceDN w:val="0"/>
        <w:adjustRightInd w:val="0"/>
        <w:spacing w:after="0" w:line="360" w:lineRule="auto"/>
        <w:rPr>
          <w:rFonts w:ascii="Arial" w:hAnsi="Arial" w:cs="Arial"/>
          <w:bCs/>
        </w:rPr>
      </w:pPr>
    </w:p>
    <w:p w14:paraId="5840D8A8" w14:textId="1773F16C" w:rsidR="00F35CAB" w:rsidRPr="0037665E" w:rsidRDefault="00F35CAB" w:rsidP="0037665E">
      <w:pPr>
        <w:spacing w:after="0" w:line="360" w:lineRule="auto"/>
        <w:jc w:val="center"/>
        <w:rPr>
          <w:rFonts w:ascii="Arial" w:hAnsi="Arial" w:cs="Arial"/>
          <w:color w:val="000000"/>
          <w:shd w:val="clear" w:color="auto" w:fill="FFFFFF"/>
        </w:rPr>
      </w:pPr>
      <w:r>
        <w:rPr>
          <w:rFonts w:ascii="Arial" w:hAnsi="Arial"/>
          <w:color w:val="000000"/>
          <w:shd w:val="clear" w:color="auto" w:fill="FFFFFF"/>
        </w:rPr>
        <w:t>FIN</w:t>
      </w:r>
    </w:p>
    <w:p w14:paraId="56018583" w14:textId="136BE529" w:rsidR="00C61EAC" w:rsidRPr="00361732" w:rsidRDefault="00C61EAC" w:rsidP="0037665E">
      <w:pPr>
        <w:spacing w:after="0" w:line="360" w:lineRule="auto"/>
        <w:rPr>
          <w:rFonts w:ascii="Arial" w:hAnsi="Arial" w:cs="Arial"/>
          <w:color w:val="000000"/>
          <w:shd w:val="clear" w:color="auto" w:fill="FFFFFF"/>
        </w:rPr>
      </w:pPr>
    </w:p>
    <w:p w14:paraId="7E3BC528" w14:textId="77777777" w:rsidR="00C61EAC" w:rsidRPr="00361732" w:rsidRDefault="00C61EAC" w:rsidP="0037665E">
      <w:pPr>
        <w:spacing w:after="0" w:line="360" w:lineRule="auto"/>
        <w:rPr>
          <w:rFonts w:ascii="Arial" w:hAnsi="Arial" w:cs="Arial"/>
        </w:rPr>
      </w:pPr>
    </w:p>
    <w:p w14:paraId="56078CA9" w14:textId="77777777" w:rsidR="00C61EAC" w:rsidRPr="00361732" w:rsidRDefault="00C61EAC" w:rsidP="0037665E">
      <w:pPr>
        <w:tabs>
          <w:tab w:val="left" w:pos="360"/>
          <w:tab w:val="right" w:pos="9360"/>
        </w:tabs>
        <w:spacing w:after="0" w:line="360" w:lineRule="auto"/>
        <w:textAlignment w:val="baseline"/>
        <w:rPr>
          <w:rFonts w:ascii="Arial" w:hAnsi="Arial" w:cs="Arial"/>
          <w:b/>
          <w:bCs/>
          <w:sz w:val="20"/>
          <w:szCs w:val="20"/>
        </w:rPr>
      </w:pPr>
      <w:r w:rsidRPr="00361732">
        <w:rPr>
          <w:rFonts w:ascii="Arial" w:hAnsi="Arial"/>
          <w:b/>
          <w:sz w:val="20"/>
          <w:szCs w:val="20"/>
        </w:rPr>
        <w:t>À propos de Miraclon</w:t>
      </w:r>
    </w:p>
    <w:p w14:paraId="7AAC166B" w14:textId="37AD05FA" w:rsidR="00C61EAC" w:rsidRPr="00361732" w:rsidRDefault="00C61EAC" w:rsidP="0037665E">
      <w:pPr>
        <w:spacing w:after="0" w:line="360" w:lineRule="auto"/>
        <w:rPr>
          <w:rFonts w:ascii="Arial" w:hAnsi="Arial" w:cs="Arial"/>
          <w:sz w:val="20"/>
          <w:szCs w:val="20"/>
        </w:rPr>
      </w:pPr>
      <w:r w:rsidRPr="00361732">
        <w:rPr>
          <w:rFonts w:ascii="Arial" w:hAnsi="Arial"/>
          <w:sz w:val="20"/>
          <w:szCs w:val="20"/>
        </w:rPr>
        <w:t xml:space="preserve">Les KODAK FLEXCEL Solutions ont permis de transformer l’impression </w:t>
      </w:r>
      <w:proofErr w:type="spellStart"/>
      <w:r w:rsidRPr="00361732">
        <w:rPr>
          <w:rFonts w:ascii="Arial" w:hAnsi="Arial"/>
          <w:sz w:val="20"/>
          <w:szCs w:val="20"/>
        </w:rPr>
        <w:t>flexographique</w:t>
      </w:r>
      <w:proofErr w:type="spellEnd"/>
      <w:r w:rsidRPr="00361732">
        <w:rPr>
          <w:rFonts w:ascii="Arial" w:hAnsi="Arial"/>
          <w:sz w:val="20"/>
          <w:szCs w:val="20"/>
        </w:rPr>
        <w:t xml:space="preserve"> au cours de la dernière décennie. Désormais créées par Miraclon, les KODAK FLEXCEL Solutions – y compris le FLEXCEL NX System leader de l’industrie – apportent aux clients une meilleure qualité, une rentabilité supérieure, une plus grande productivité et des résultats exceptionnels. En se concentrant sur une science de l’image révolutionnaire, sur l’innovation et sur la collaboration avec des partenaires et des clients de l’industrie, Miraclon s’engage pour le futur de la </w:t>
      </w:r>
      <w:proofErr w:type="spellStart"/>
      <w:r w:rsidRPr="00361732">
        <w:rPr>
          <w:rFonts w:ascii="Arial" w:hAnsi="Arial"/>
          <w:sz w:val="20"/>
          <w:szCs w:val="20"/>
        </w:rPr>
        <w:t>flexo</w:t>
      </w:r>
      <w:proofErr w:type="spellEnd"/>
      <w:r w:rsidRPr="00361732">
        <w:rPr>
          <w:rFonts w:ascii="Arial" w:hAnsi="Arial"/>
          <w:sz w:val="20"/>
          <w:szCs w:val="20"/>
        </w:rPr>
        <w:t xml:space="preserve"> et est en place pour mener la bataille. Pour en savoir plus, visitez</w:t>
      </w:r>
      <w:r w:rsidRPr="00361732">
        <w:rPr>
          <w:rStyle w:val="Hyperlink"/>
          <w:rFonts w:ascii="Arial" w:hAnsi="Arial"/>
          <w:sz w:val="20"/>
          <w:szCs w:val="20"/>
        </w:rPr>
        <w:t xml:space="preserve"> </w:t>
      </w:r>
      <w:hyperlink r:id="rId9" w:history="1">
        <w:r w:rsidRPr="00361732">
          <w:rPr>
            <w:rStyle w:val="Hyperlink"/>
            <w:rFonts w:ascii="Arial" w:hAnsi="Arial"/>
            <w:sz w:val="20"/>
            <w:szCs w:val="20"/>
          </w:rPr>
          <w:t>www.miraclon.com</w:t>
        </w:r>
      </w:hyperlink>
      <w:r w:rsidRPr="00361732">
        <w:rPr>
          <w:rFonts w:ascii="Arial" w:hAnsi="Arial"/>
          <w:sz w:val="20"/>
          <w:szCs w:val="20"/>
        </w:rPr>
        <w:t xml:space="preserve">. Connectez-vous à notre compte LinkedIn </w:t>
      </w:r>
      <w:hyperlink r:id="rId10" w:history="1">
        <w:r w:rsidRPr="00361732">
          <w:rPr>
            <w:rStyle w:val="Hyperlink"/>
            <w:rFonts w:ascii="Arial" w:hAnsi="Arial"/>
            <w:sz w:val="20"/>
            <w:szCs w:val="20"/>
          </w:rPr>
          <w:t>Miraclon Corporation</w:t>
        </w:r>
      </w:hyperlink>
      <w:r w:rsidRPr="00361732">
        <w:rPr>
          <w:rFonts w:ascii="Arial" w:hAnsi="Arial"/>
          <w:sz w:val="20"/>
          <w:szCs w:val="20"/>
        </w:rPr>
        <w:t xml:space="preserve">. </w:t>
      </w:r>
    </w:p>
    <w:p w14:paraId="36E4FDB5" w14:textId="77777777" w:rsidR="00C61EAC" w:rsidRPr="00361732" w:rsidRDefault="00C61EAC" w:rsidP="0037665E">
      <w:pPr>
        <w:spacing w:after="0" w:line="360" w:lineRule="auto"/>
        <w:rPr>
          <w:rFonts w:ascii="Arial" w:hAnsi="Arial" w:cs="Arial"/>
          <w:sz w:val="20"/>
          <w:szCs w:val="20"/>
        </w:rPr>
      </w:pPr>
    </w:p>
    <w:p w14:paraId="2D42FEF5" w14:textId="558422A5" w:rsidR="00C61EAC" w:rsidRPr="00361732" w:rsidRDefault="00C61EAC" w:rsidP="0037665E">
      <w:pPr>
        <w:spacing w:after="0" w:line="360" w:lineRule="auto"/>
        <w:rPr>
          <w:rFonts w:ascii="Arial" w:hAnsi="Arial" w:cs="Arial"/>
          <w:color w:val="000000"/>
          <w:shd w:val="clear" w:color="auto" w:fill="FFFFFF"/>
        </w:rPr>
      </w:pPr>
    </w:p>
    <w:p w14:paraId="4F037BCA" w14:textId="77777777" w:rsidR="00051A6A" w:rsidRPr="00361732" w:rsidRDefault="00051A6A" w:rsidP="0037665E">
      <w:pPr>
        <w:spacing w:after="0" w:line="360" w:lineRule="auto"/>
        <w:rPr>
          <w:rFonts w:ascii="Arial" w:hAnsi="Arial" w:cs="Arial"/>
          <w:color w:val="000000" w:themeColor="text1"/>
          <w:shd w:val="clear" w:color="auto" w:fill="FFFFFF"/>
        </w:rPr>
      </w:pPr>
    </w:p>
    <w:sectPr w:rsidR="00051A6A" w:rsidRPr="00361732" w:rsidSect="003F5F4F">
      <w:footerReference w:type="default" r:id="rId11"/>
      <w:pgSz w:w="12240" w:h="15840" w:code="1"/>
      <w:pgMar w:top="1264" w:right="1417"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0BDB" w14:textId="77777777" w:rsidR="00285631" w:rsidRDefault="00285631" w:rsidP="00C61EAC">
      <w:pPr>
        <w:spacing w:after="0" w:line="240" w:lineRule="auto"/>
      </w:pPr>
      <w:r>
        <w:separator/>
      </w:r>
    </w:p>
  </w:endnote>
  <w:endnote w:type="continuationSeparator" w:id="0">
    <w:p w14:paraId="3CFCFBD2" w14:textId="77777777" w:rsidR="00285631" w:rsidRDefault="00285631" w:rsidP="00C6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3111" w14:textId="52096A16" w:rsidR="000A5EE0" w:rsidRDefault="009473E6" w:rsidP="000A5EE0">
    <w:pPr>
      <w:pStyle w:val="Footer"/>
      <w:tabs>
        <w:tab w:val="clear" w:pos="4680"/>
        <w:tab w:val="clear" w:pos="9360"/>
        <w:tab w:val="center" w:pos="4536"/>
      </w:tabs>
    </w:pPr>
    <w:r>
      <w:rPr>
        <w:noProof/>
      </w:rPr>
      <w:drawing>
        <wp:anchor distT="0" distB="0" distL="114300" distR="114300" simplePos="0" relativeHeight="251659264" behindDoc="0" locked="0" layoutInCell="1" allowOverlap="1" wp14:anchorId="235AECD3" wp14:editId="09E28753">
          <wp:simplePos x="0" y="0"/>
          <wp:positionH relativeFrom="margin">
            <wp:posOffset>5422265</wp:posOffset>
          </wp:positionH>
          <wp:positionV relativeFrom="page">
            <wp:posOffset>9316720</wp:posOffset>
          </wp:positionV>
          <wp:extent cx="550545" cy="5435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545" cy="543560"/>
                  </a:xfrm>
                  <a:prstGeom prst="rect">
                    <a:avLst/>
                  </a:prstGeom>
                </pic:spPr>
              </pic:pic>
            </a:graphicData>
          </a:graphic>
          <wp14:sizeRelH relativeFrom="page">
            <wp14:pctWidth>0</wp14:pctWidth>
          </wp14:sizeRelH>
          <wp14:sizeRelV relativeFrom="page">
            <wp14:pctHeight>0</wp14:pctHeight>
          </wp14:sizeRelV>
        </wp:anchor>
      </w:drawing>
    </w:r>
  </w:p>
  <w:p w14:paraId="3AB1F138" w14:textId="51660638"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1B1A" w14:textId="77777777" w:rsidR="00285631" w:rsidRDefault="00285631" w:rsidP="00C61EAC">
      <w:pPr>
        <w:spacing w:after="0" w:line="240" w:lineRule="auto"/>
      </w:pPr>
      <w:r>
        <w:separator/>
      </w:r>
    </w:p>
  </w:footnote>
  <w:footnote w:type="continuationSeparator" w:id="0">
    <w:p w14:paraId="3307ED75" w14:textId="77777777" w:rsidR="00285631" w:rsidRDefault="00285631" w:rsidP="00C61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6F"/>
    <w:rsid w:val="00004561"/>
    <w:rsid w:val="00010C21"/>
    <w:rsid w:val="00015299"/>
    <w:rsid w:val="00051A6A"/>
    <w:rsid w:val="0005398C"/>
    <w:rsid w:val="00053FF9"/>
    <w:rsid w:val="0005704C"/>
    <w:rsid w:val="000574EC"/>
    <w:rsid w:val="00062C21"/>
    <w:rsid w:val="0006445D"/>
    <w:rsid w:val="000816E7"/>
    <w:rsid w:val="00097386"/>
    <w:rsid w:val="000A5EE0"/>
    <w:rsid w:val="000B49C9"/>
    <w:rsid w:val="000D4A60"/>
    <w:rsid w:val="000D4DCD"/>
    <w:rsid w:val="000D7F02"/>
    <w:rsid w:val="000E3ADB"/>
    <w:rsid w:val="000E6D7A"/>
    <w:rsid w:val="00103D72"/>
    <w:rsid w:val="001053C0"/>
    <w:rsid w:val="00107430"/>
    <w:rsid w:val="00107436"/>
    <w:rsid w:val="00115950"/>
    <w:rsid w:val="00124104"/>
    <w:rsid w:val="001310EF"/>
    <w:rsid w:val="001424AE"/>
    <w:rsid w:val="001452F7"/>
    <w:rsid w:val="00150996"/>
    <w:rsid w:val="00151EF3"/>
    <w:rsid w:val="00155C93"/>
    <w:rsid w:val="00161867"/>
    <w:rsid w:val="0016647F"/>
    <w:rsid w:val="001B0115"/>
    <w:rsid w:val="001C71A1"/>
    <w:rsid w:val="001E0BF3"/>
    <w:rsid w:val="001F0EA6"/>
    <w:rsid w:val="00204AAF"/>
    <w:rsid w:val="00206F1D"/>
    <w:rsid w:val="002150F6"/>
    <w:rsid w:val="00232DA1"/>
    <w:rsid w:val="00263257"/>
    <w:rsid w:val="002768EE"/>
    <w:rsid w:val="0028023B"/>
    <w:rsid w:val="00283344"/>
    <w:rsid w:val="00285631"/>
    <w:rsid w:val="002A40F2"/>
    <w:rsid w:val="002A7973"/>
    <w:rsid w:val="002B3FD5"/>
    <w:rsid w:val="002B554B"/>
    <w:rsid w:val="002C1A66"/>
    <w:rsid w:val="002C7015"/>
    <w:rsid w:val="002D333D"/>
    <w:rsid w:val="002D372A"/>
    <w:rsid w:val="002D3B35"/>
    <w:rsid w:val="002F084F"/>
    <w:rsid w:val="002F772E"/>
    <w:rsid w:val="00305F18"/>
    <w:rsid w:val="00322E0F"/>
    <w:rsid w:val="003258D5"/>
    <w:rsid w:val="00325A80"/>
    <w:rsid w:val="003272CC"/>
    <w:rsid w:val="00335FA5"/>
    <w:rsid w:val="003407EC"/>
    <w:rsid w:val="003452E8"/>
    <w:rsid w:val="00345363"/>
    <w:rsid w:val="00347BF3"/>
    <w:rsid w:val="00356656"/>
    <w:rsid w:val="00361732"/>
    <w:rsid w:val="00361BD8"/>
    <w:rsid w:val="00363FC7"/>
    <w:rsid w:val="00367655"/>
    <w:rsid w:val="00372E1A"/>
    <w:rsid w:val="00375BEB"/>
    <w:rsid w:val="0037665E"/>
    <w:rsid w:val="003810E8"/>
    <w:rsid w:val="00383236"/>
    <w:rsid w:val="00391E20"/>
    <w:rsid w:val="0039474F"/>
    <w:rsid w:val="003A0A0F"/>
    <w:rsid w:val="003B05DB"/>
    <w:rsid w:val="003B2B7A"/>
    <w:rsid w:val="003B5EDA"/>
    <w:rsid w:val="003B6807"/>
    <w:rsid w:val="003C5C2A"/>
    <w:rsid w:val="003D3D8C"/>
    <w:rsid w:val="003E09B6"/>
    <w:rsid w:val="003E4AD1"/>
    <w:rsid w:val="003E5D3B"/>
    <w:rsid w:val="003F5F4F"/>
    <w:rsid w:val="003F66E7"/>
    <w:rsid w:val="003F7D90"/>
    <w:rsid w:val="00407FA4"/>
    <w:rsid w:val="00413DE4"/>
    <w:rsid w:val="00416486"/>
    <w:rsid w:val="00432770"/>
    <w:rsid w:val="00433673"/>
    <w:rsid w:val="004428D8"/>
    <w:rsid w:val="00446D3C"/>
    <w:rsid w:val="004471AC"/>
    <w:rsid w:val="00454C13"/>
    <w:rsid w:val="00457BB7"/>
    <w:rsid w:val="00460D55"/>
    <w:rsid w:val="00473FC3"/>
    <w:rsid w:val="00475A85"/>
    <w:rsid w:val="004943AA"/>
    <w:rsid w:val="004A0459"/>
    <w:rsid w:val="004A5869"/>
    <w:rsid w:val="004B5357"/>
    <w:rsid w:val="004D2E19"/>
    <w:rsid w:val="004D3EB0"/>
    <w:rsid w:val="004E168A"/>
    <w:rsid w:val="004F4A6F"/>
    <w:rsid w:val="004F773A"/>
    <w:rsid w:val="005033EA"/>
    <w:rsid w:val="005035A1"/>
    <w:rsid w:val="00511C82"/>
    <w:rsid w:val="00511CB4"/>
    <w:rsid w:val="005170A0"/>
    <w:rsid w:val="00517B66"/>
    <w:rsid w:val="00524AAF"/>
    <w:rsid w:val="00537DF2"/>
    <w:rsid w:val="00543CF6"/>
    <w:rsid w:val="00547124"/>
    <w:rsid w:val="0056346B"/>
    <w:rsid w:val="00567F13"/>
    <w:rsid w:val="0059076B"/>
    <w:rsid w:val="005931BE"/>
    <w:rsid w:val="00594319"/>
    <w:rsid w:val="005A263C"/>
    <w:rsid w:val="005D5537"/>
    <w:rsid w:val="005E08E1"/>
    <w:rsid w:val="005E4254"/>
    <w:rsid w:val="00602B6C"/>
    <w:rsid w:val="0060485D"/>
    <w:rsid w:val="00612DE3"/>
    <w:rsid w:val="00620532"/>
    <w:rsid w:val="00664418"/>
    <w:rsid w:val="00682B38"/>
    <w:rsid w:val="00686F74"/>
    <w:rsid w:val="006872FE"/>
    <w:rsid w:val="006A4CB9"/>
    <w:rsid w:val="006C12F0"/>
    <w:rsid w:val="006D1174"/>
    <w:rsid w:val="006D53F1"/>
    <w:rsid w:val="006D7FC8"/>
    <w:rsid w:val="006F139C"/>
    <w:rsid w:val="006F1C4D"/>
    <w:rsid w:val="006F6FB2"/>
    <w:rsid w:val="0072219C"/>
    <w:rsid w:val="00722F0F"/>
    <w:rsid w:val="007324FF"/>
    <w:rsid w:val="00734CA4"/>
    <w:rsid w:val="00742850"/>
    <w:rsid w:val="00781598"/>
    <w:rsid w:val="00783948"/>
    <w:rsid w:val="00796A51"/>
    <w:rsid w:val="007A47DE"/>
    <w:rsid w:val="007A552A"/>
    <w:rsid w:val="007B47D0"/>
    <w:rsid w:val="007B62F5"/>
    <w:rsid w:val="007C3FBE"/>
    <w:rsid w:val="007E0F5D"/>
    <w:rsid w:val="007F477C"/>
    <w:rsid w:val="00802FE2"/>
    <w:rsid w:val="00803278"/>
    <w:rsid w:val="00814557"/>
    <w:rsid w:val="00817EBF"/>
    <w:rsid w:val="00823E89"/>
    <w:rsid w:val="0083432D"/>
    <w:rsid w:val="00853ABA"/>
    <w:rsid w:val="008559B1"/>
    <w:rsid w:val="008728B4"/>
    <w:rsid w:val="00875B2B"/>
    <w:rsid w:val="008816E3"/>
    <w:rsid w:val="008924D2"/>
    <w:rsid w:val="008C445A"/>
    <w:rsid w:val="008C797B"/>
    <w:rsid w:val="008F3CA8"/>
    <w:rsid w:val="009051BE"/>
    <w:rsid w:val="00906969"/>
    <w:rsid w:val="00926EA9"/>
    <w:rsid w:val="009446D8"/>
    <w:rsid w:val="009473E6"/>
    <w:rsid w:val="00972CA7"/>
    <w:rsid w:val="00982DFE"/>
    <w:rsid w:val="00985AB7"/>
    <w:rsid w:val="00987B96"/>
    <w:rsid w:val="00993B04"/>
    <w:rsid w:val="009A1618"/>
    <w:rsid w:val="009B6572"/>
    <w:rsid w:val="009B7C46"/>
    <w:rsid w:val="009C0430"/>
    <w:rsid w:val="009C045E"/>
    <w:rsid w:val="009D02DF"/>
    <w:rsid w:val="009D7F4F"/>
    <w:rsid w:val="00A27A6B"/>
    <w:rsid w:val="00A3564E"/>
    <w:rsid w:val="00A36C06"/>
    <w:rsid w:val="00A411C1"/>
    <w:rsid w:val="00A4749B"/>
    <w:rsid w:val="00A66E08"/>
    <w:rsid w:val="00A678B2"/>
    <w:rsid w:val="00A75320"/>
    <w:rsid w:val="00A81A9D"/>
    <w:rsid w:val="00A8605F"/>
    <w:rsid w:val="00A923D1"/>
    <w:rsid w:val="00AA22CF"/>
    <w:rsid w:val="00AA28AD"/>
    <w:rsid w:val="00AA2D94"/>
    <w:rsid w:val="00AB4752"/>
    <w:rsid w:val="00AD46C0"/>
    <w:rsid w:val="00AE3CE7"/>
    <w:rsid w:val="00AE57E6"/>
    <w:rsid w:val="00B10342"/>
    <w:rsid w:val="00B164F1"/>
    <w:rsid w:val="00B5165B"/>
    <w:rsid w:val="00B53A64"/>
    <w:rsid w:val="00B568C5"/>
    <w:rsid w:val="00B6568E"/>
    <w:rsid w:val="00B73CE9"/>
    <w:rsid w:val="00B7459A"/>
    <w:rsid w:val="00B7793E"/>
    <w:rsid w:val="00B94CDD"/>
    <w:rsid w:val="00BA7150"/>
    <w:rsid w:val="00BB2AE7"/>
    <w:rsid w:val="00BC02A5"/>
    <w:rsid w:val="00BE3DD7"/>
    <w:rsid w:val="00BF1928"/>
    <w:rsid w:val="00C050BB"/>
    <w:rsid w:val="00C07AC0"/>
    <w:rsid w:val="00C07E9E"/>
    <w:rsid w:val="00C33F4F"/>
    <w:rsid w:val="00C37C57"/>
    <w:rsid w:val="00C4683B"/>
    <w:rsid w:val="00C5693D"/>
    <w:rsid w:val="00C61EAC"/>
    <w:rsid w:val="00C83C6A"/>
    <w:rsid w:val="00CB0E6D"/>
    <w:rsid w:val="00CB40E6"/>
    <w:rsid w:val="00CB784A"/>
    <w:rsid w:val="00CC55C1"/>
    <w:rsid w:val="00CD0FD6"/>
    <w:rsid w:val="00CF0716"/>
    <w:rsid w:val="00CF5F79"/>
    <w:rsid w:val="00D164FC"/>
    <w:rsid w:val="00D348F0"/>
    <w:rsid w:val="00D512FF"/>
    <w:rsid w:val="00D67F06"/>
    <w:rsid w:val="00D70060"/>
    <w:rsid w:val="00D70809"/>
    <w:rsid w:val="00D73990"/>
    <w:rsid w:val="00D75063"/>
    <w:rsid w:val="00D778B7"/>
    <w:rsid w:val="00D957FB"/>
    <w:rsid w:val="00DA12F1"/>
    <w:rsid w:val="00DA6B39"/>
    <w:rsid w:val="00DB33AC"/>
    <w:rsid w:val="00DD17DD"/>
    <w:rsid w:val="00DD7782"/>
    <w:rsid w:val="00DE347C"/>
    <w:rsid w:val="00E063E5"/>
    <w:rsid w:val="00E1373A"/>
    <w:rsid w:val="00E278D4"/>
    <w:rsid w:val="00E40F32"/>
    <w:rsid w:val="00E4249B"/>
    <w:rsid w:val="00E6002A"/>
    <w:rsid w:val="00E615F4"/>
    <w:rsid w:val="00E66D0F"/>
    <w:rsid w:val="00E71504"/>
    <w:rsid w:val="00E91B63"/>
    <w:rsid w:val="00E93CB1"/>
    <w:rsid w:val="00EA349D"/>
    <w:rsid w:val="00EB4D33"/>
    <w:rsid w:val="00EB5EA0"/>
    <w:rsid w:val="00EC35B2"/>
    <w:rsid w:val="00ED2DBA"/>
    <w:rsid w:val="00EF08C3"/>
    <w:rsid w:val="00EF1F92"/>
    <w:rsid w:val="00F050EB"/>
    <w:rsid w:val="00F2029A"/>
    <w:rsid w:val="00F23166"/>
    <w:rsid w:val="00F332B1"/>
    <w:rsid w:val="00F336B5"/>
    <w:rsid w:val="00F336C4"/>
    <w:rsid w:val="00F35CAB"/>
    <w:rsid w:val="00F375CD"/>
    <w:rsid w:val="00F44E11"/>
    <w:rsid w:val="00F506D9"/>
    <w:rsid w:val="00F60CB8"/>
    <w:rsid w:val="00F63056"/>
    <w:rsid w:val="00F650DC"/>
    <w:rsid w:val="00F65570"/>
    <w:rsid w:val="00F909E4"/>
    <w:rsid w:val="00F93468"/>
    <w:rsid w:val="00FA7935"/>
    <w:rsid w:val="00FB3599"/>
    <w:rsid w:val="00FD607B"/>
    <w:rsid w:val="00FE02E9"/>
    <w:rsid w:val="00FE5329"/>
    <w:rsid w:val="00FE77CB"/>
    <w:rsid w:val="00FF1640"/>
    <w:rsid w:val="00FF4372"/>
    <w:rsid w:val="00FF7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3F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fr-FR"/>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fr-FR"/>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rPr>
  </w:style>
  <w:style w:type="paragraph" w:styleId="Revision">
    <w:name w:val="Revision"/>
    <w:hidden/>
    <w:uiPriority w:val="99"/>
    <w:semiHidden/>
    <w:rsid w:val="00537DF2"/>
    <w:pPr>
      <w:spacing w:after="0" w:line="240" w:lineRule="auto"/>
    </w:pPr>
  </w:style>
  <w:style w:type="paragraph" w:customStyle="1" w:styleId="Standard1">
    <w:name w:val="Standard1"/>
    <w:rsid w:val="00361732"/>
    <w:pPr>
      <w:suppressAutoHyphens/>
      <w:autoSpaceDN w:val="0"/>
      <w:spacing w:after="0" w:line="240" w:lineRule="auto"/>
    </w:pPr>
    <w:rPr>
      <w:rFonts w:ascii="Verdana" w:eastAsia="Times New Roman" w:hAnsi="Verdana" w:cs="Times New Roman"/>
      <w:kern w:val="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723257004">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1078405785">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oods@adcomms.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lni.vanrensburg@miraclo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linkedin.com/company/miraclon-corporation/" TargetMode="External"/><Relationship Id="rId4" Type="http://schemas.openxmlformats.org/officeDocument/2006/relationships/footnotes" Target="footnotes.xml"/><Relationship Id="rId9"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7396</Characters>
  <Application>Microsoft Office Word</Application>
  <DocSecurity>0</DocSecurity>
  <Lines>129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2022-08-22T06:59:00Z</dcterms:created>
  <dcterms:modified xsi:type="dcterms:W3CDTF">2022-10-21T08:21:00Z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448d4a9b7d967c9d21bce694f54ca04f9074240c45755f9549fcb0b7249a5432</vt:lpwstr>
  </property>
</Properties>
</file>