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37665E" w:rsidRDefault="009D7F4F" w:rsidP="0037665E">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57F15EDE" w:rsidR="00C61EAC" w:rsidRPr="00742850" w:rsidRDefault="0037665E" w:rsidP="0037665E">
      <w:pPr>
        <w:spacing w:after="0" w:line="240" w:lineRule="auto"/>
        <w:rPr>
          <w:rFonts w:ascii="Arial" w:hAnsi="Arial" w:cs="Arial"/>
          <w:b/>
          <w:sz w:val="20"/>
          <w:szCs w:val="20"/>
        </w:rPr>
      </w:pPr>
      <w:r>
        <w:rPr>
          <w:rFonts w:ascii="Arial" w:hAnsi="Arial"/>
          <w:b/>
          <w:sz w:val="20"/>
        </w:rPr>
        <w:t>Profilo del vincitore GFIA</w:t>
      </w:r>
    </w:p>
    <w:p w14:paraId="4328FEAC" w14:textId="77777777" w:rsidR="00C61EAC" w:rsidRPr="00742850" w:rsidRDefault="00C61EAC" w:rsidP="0037665E">
      <w:pPr>
        <w:spacing w:after="0" w:line="240" w:lineRule="auto"/>
        <w:rPr>
          <w:rFonts w:ascii="Arial" w:hAnsi="Arial" w:cs="Arial"/>
          <w:sz w:val="20"/>
          <w:szCs w:val="20"/>
        </w:rPr>
      </w:pPr>
    </w:p>
    <w:p w14:paraId="4206FD5C" w14:textId="77777777" w:rsidR="004F54A8" w:rsidRPr="00142F4F" w:rsidRDefault="004F54A8" w:rsidP="004F54A8">
      <w:pPr>
        <w:pStyle w:val="Standard1"/>
        <w:rPr>
          <w:rFonts w:ascii="Arial" w:hAnsi="Arial" w:cs="Arial"/>
          <w:szCs w:val="20"/>
        </w:rPr>
      </w:pPr>
      <w:r>
        <w:rPr>
          <w:rFonts w:ascii="Arial" w:hAnsi="Arial"/>
        </w:rPr>
        <w:t>Contatti media:</w:t>
      </w:r>
    </w:p>
    <w:p w14:paraId="21328465" w14:textId="77777777" w:rsidR="004F54A8" w:rsidRDefault="004F54A8" w:rsidP="004F54A8">
      <w:pPr>
        <w:pStyle w:val="Standard1"/>
        <w:rPr>
          <w:rFonts w:ascii="Arial" w:hAnsi="Arial" w:cs="Arial"/>
          <w:szCs w:val="20"/>
        </w:rPr>
      </w:pPr>
      <w:r>
        <w:rPr>
          <w:rFonts w:ascii="Arial" w:hAnsi="Arial" w:cs="Arial"/>
          <w:color w:val="000000"/>
        </w:rPr>
        <w:t xml:space="preserve">Elni Van Rensburg – +1 830 317 0950 – </w:t>
      </w:r>
      <w:hyperlink r:id="rId7" w:history="1">
        <w:r>
          <w:rPr>
            <w:rStyle w:val="Hyperlink"/>
            <w:rFonts w:ascii="Arial" w:hAnsi="Arial" w:cs="Arial"/>
          </w:rPr>
          <w:t>elni.vanrensburg@miraclon.com</w:t>
        </w:r>
      </w:hyperlink>
      <w:r>
        <w:rPr>
          <w:rFonts w:ascii="Arial" w:hAnsi="Arial" w:cs="Arial"/>
          <w:color w:val="000000"/>
        </w:rPr>
        <w:t xml:space="preserve"> </w:t>
      </w:r>
      <w:r>
        <w:rPr>
          <w:rFonts w:ascii="Arial" w:hAnsi="Arial" w:cs="Arial"/>
          <w:color w:val="000000"/>
        </w:rPr>
        <w:br/>
      </w:r>
      <w:r>
        <w:rPr>
          <w:rFonts w:ascii="Arial" w:hAnsi="Arial" w:cs="Arial"/>
          <w:bCs/>
          <w:kern w:val="0"/>
        </w:rPr>
        <w:t xml:space="preserve">AD Communications: Imogen Woods – +44 (0)1372 464 470 – </w:t>
      </w:r>
      <w:hyperlink r:id="rId8" w:history="1">
        <w:r>
          <w:rPr>
            <w:rStyle w:val="Hyperlink"/>
            <w:rFonts w:ascii="Arial" w:hAnsi="Arial" w:cs="Arial"/>
            <w:bCs/>
            <w:kern w:val="0"/>
          </w:rPr>
          <w:t>iwoods@adcomms.co.uk</w:t>
        </w:r>
      </w:hyperlink>
    </w:p>
    <w:p w14:paraId="2A0DE598" w14:textId="77777777" w:rsidR="004F54A8" w:rsidRPr="00AE3B92" w:rsidRDefault="004F54A8" w:rsidP="004F54A8">
      <w:pPr>
        <w:pStyle w:val="Standard1"/>
        <w:rPr>
          <w:rFonts w:ascii="Arial" w:hAnsi="Arial" w:cs="Arial"/>
          <w:color w:val="000000"/>
          <w:szCs w:val="20"/>
        </w:rPr>
      </w:pPr>
    </w:p>
    <w:p w14:paraId="722DB5F5" w14:textId="759FAB7C" w:rsidR="004F54A8" w:rsidRPr="00142F4F" w:rsidRDefault="004F54A8" w:rsidP="004F54A8">
      <w:pPr>
        <w:pStyle w:val="Standard1"/>
        <w:spacing w:line="360" w:lineRule="auto"/>
        <w:rPr>
          <w:rFonts w:ascii="Arial" w:hAnsi="Arial" w:cs="Arial"/>
          <w:color w:val="000000"/>
          <w:szCs w:val="20"/>
        </w:rPr>
      </w:pPr>
      <w:r>
        <w:rPr>
          <w:rFonts w:ascii="Arial" w:hAnsi="Arial"/>
          <w:color w:val="000000"/>
        </w:rPr>
        <w:t>21</w:t>
      </w:r>
      <w:r>
        <w:rPr>
          <w:rFonts w:ascii="Arial" w:hAnsi="Arial"/>
          <w:color w:val="000000"/>
        </w:rPr>
        <w:t xml:space="preserve"> ottobre 2022</w:t>
      </w:r>
    </w:p>
    <w:p w14:paraId="2C5DF631" w14:textId="2AD3A9E5" w:rsidR="00F35CAB" w:rsidRPr="004F54A8" w:rsidRDefault="00F35CAB" w:rsidP="0037665E">
      <w:pPr>
        <w:spacing w:after="0" w:line="360" w:lineRule="auto"/>
        <w:rPr>
          <w:rFonts w:ascii="Arial" w:hAnsi="Arial" w:cs="Arial"/>
        </w:rPr>
      </w:pPr>
    </w:p>
    <w:p w14:paraId="5264A5DD" w14:textId="3BE12F14" w:rsidR="00416486" w:rsidRDefault="00416486" w:rsidP="0037665E">
      <w:pPr>
        <w:spacing w:after="0" w:line="360" w:lineRule="auto"/>
        <w:jc w:val="center"/>
        <w:rPr>
          <w:rFonts w:ascii="Arial" w:hAnsi="Arial" w:cs="Arial"/>
          <w:b/>
          <w:bCs/>
          <w:sz w:val="26"/>
          <w:szCs w:val="26"/>
        </w:rPr>
      </w:pPr>
      <w:proofErr w:type="spellStart"/>
      <w:r>
        <w:rPr>
          <w:rFonts w:ascii="Arial" w:hAnsi="Arial"/>
          <w:b/>
          <w:sz w:val="26"/>
        </w:rPr>
        <w:t>Numex</w:t>
      </w:r>
      <w:proofErr w:type="spellEnd"/>
      <w:r>
        <w:rPr>
          <w:rFonts w:ascii="Arial" w:hAnsi="Arial"/>
          <w:b/>
          <w:sz w:val="26"/>
        </w:rPr>
        <w:t xml:space="preserve"> </w:t>
      </w:r>
      <w:proofErr w:type="spellStart"/>
      <w:r>
        <w:rPr>
          <w:rFonts w:ascii="Arial" w:hAnsi="Arial"/>
          <w:b/>
          <w:sz w:val="26"/>
        </w:rPr>
        <w:t>Blocks</w:t>
      </w:r>
      <w:proofErr w:type="spellEnd"/>
      <w:r>
        <w:rPr>
          <w:rFonts w:ascii="Arial" w:hAnsi="Arial"/>
          <w:b/>
          <w:sz w:val="26"/>
        </w:rPr>
        <w:t xml:space="preserve"> e il percorso ‘</w:t>
      </w:r>
      <w:proofErr w:type="spellStart"/>
      <w:r>
        <w:rPr>
          <w:rFonts w:ascii="Arial" w:hAnsi="Arial"/>
          <w:b/>
          <w:sz w:val="26"/>
        </w:rPr>
        <w:t>direct</w:t>
      </w:r>
      <w:proofErr w:type="spellEnd"/>
      <w:r>
        <w:rPr>
          <w:rFonts w:ascii="Arial" w:hAnsi="Arial"/>
          <w:b/>
          <w:sz w:val="26"/>
        </w:rPr>
        <w:t>-to-tube’ per il successo agli awards</w:t>
      </w:r>
    </w:p>
    <w:p w14:paraId="6BBD2031" w14:textId="77777777" w:rsidR="008C797B" w:rsidRDefault="00416486" w:rsidP="0037665E">
      <w:pPr>
        <w:spacing w:after="0" w:line="360" w:lineRule="auto"/>
        <w:jc w:val="center"/>
        <w:rPr>
          <w:rFonts w:ascii="Arial" w:hAnsi="Arial" w:cs="Arial"/>
          <w:i/>
          <w:iCs/>
          <w:sz w:val="24"/>
          <w:szCs w:val="24"/>
        </w:rPr>
      </w:pPr>
      <w:r>
        <w:rPr>
          <w:rFonts w:ascii="Arial" w:hAnsi="Arial"/>
          <w:i/>
          <w:sz w:val="24"/>
        </w:rPr>
        <w:t xml:space="preserve">Conversione da rotocalco a </w:t>
      </w:r>
      <w:proofErr w:type="spellStart"/>
      <w:r>
        <w:rPr>
          <w:rFonts w:ascii="Arial" w:hAnsi="Arial"/>
          <w:i/>
          <w:sz w:val="24"/>
        </w:rPr>
        <w:t>flexo</w:t>
      </w:r>
      <w:proofErr w:type="spellEnd"/>
      <w:r>
        <w:rPr>
          <w:rFonts w:ascii="Arial" w:hAnsi="Arial"/>
          <w:i/>
          <w:sz w:val="24"/>
        </w:rPr>
        <w:t xml:space="preserve"> “grazie alla produttività e alla qualità garantite dalla </w:t>
      </w:r>
    </w:p>
    <w:p w14:paraId="78199314" w14:textId="35A3E60C" w:rsidR="0037665E" w:rsidRPr="00416486" w:rsidRDefault="0037665E" w:rsidP="0037665E">
      <w:pPr>
        <w:spacing w:after="0" w:line="360" w:lineRule="auto"/>
        <w:jc w:val="center"/>
        <w:rPr>
          <w:rFonts w:ascii="Arial" w:hAnsi="Arial" w:cs="Arial"/>
          <w:i/>
          <w:iCs/>
          <w:sz w:val="24"/>
          <w:szCs w:val="24"/>
        </w:rPr>
      </w:pPr>
      <w:r>
        <w:rPr>
          <w:rFonts w:ascii="Arial" w:hAnsi="Arial"/>
          <w:i/>
          <w:sz w:val="24"/>
        </w:rPr>
        <w:t xml:space="preserve">KODAK FLEXCEL NX Technology” </w:t>
      </w:r>
    </w:p>
    <w:p w14:paraId="4DDBB458" w14:textId="77777777" w:rsidR="0037665E" w:rsidRPr="004F54A8" w:rsidRDefault="0037665E" w:rsidP="0037665E">
      <w:pPr>
        <w:spacing w:after="0" w:line="360" w:lineRule="auto"/>
        <w:rPr>
          <w:rFonts w:ascii="Arial" w:hAnsi="Arial" w:cs="Arial"/>
          <w:bCs/>
        </w:rPr>
      </w:pPr>
    </w:p>
    <w:p w14:paraId="00A265B8" w14:textId="77777777" w:rsidR="0037665E" w:rsidRPr="0037665E" w:rsidRDefault="0037665E" w:rsidP="0037665E">
      <w:pPr>
        <w:autoSpaceDE w:val="0"/>
        <w:autoSpaceDN w:val="0"/>
        <w:adjustRightInd w:val="0"/>
        <w:spacing w:after="0" w:line="360" w:lineRule="auto"/>
        <w:rPr>
          <w:rFonts w:ascii="Arial" w:hAnsi="Arial" w:cs="Arial"/>
        </w:rPr>
      </w:pPr>
      <w:r>
        <w:rPr>
          <w:rFonts w:ascii="Arial" w:hAnsi="Arial"/>
        </w:rPr>
        <w:t xml:space="preserve">Alla domanda su quali fossero gli elementi che permettono a </w:t>
      </w:r>
      <w:proofErr w:type="spellStart"/>
      <w:r>
        <w:rPr>
          <w:rFonts w:ascii="Arial" w:hAnsi="Arial"/>
        </w:rPr>
        <w:t>Numex</w:t>
      </w:r>
      <w:proofErr w:type="spellEnd"/>
      <w:r>
        <w:rPr>
          <w:rFonts w:ascii="Arial" w:hAnsi="Arial"/>
        </w:rPr>
        <w:t xml:space="preserve"> </w:t>
      </w:r>
      <w:proofErr w:type="spellStart"/>
      <w:r>
        <w:rPr>
          <w:rFonts w:ascii="Arial" w:hAnsi="Arial"/>
        </w:rPr>
        <w:t>Blocks</w:t>
      </w:r>
      <w:proofErr w:type="spellEnd"/>
      <w:r>
        <w:rPr>
          <w:rFonts w:ascii="Arial" w:hAnsi="Arial"/>
        </w:rPr>
        <w:t xml:space="preserve"> di spiccare sulla concorrenza, il titolare </w:t>
      </w:r>
      <w:proofErr w:type="spellStart"/>
      <w:r>
        <w:rPr>
          <w:rFonts w:ascii="Arial" w:hAnsi="Arial"/>
        </w:rPr>
        <w:t>Nitin</w:t>
      </w:r>
      <w:proofErr w:type="spellEnd"/>
      <w:r>
        <w:rPr>
          <w:rFonts w:ascii="Arial" w:hAnsi="Arial"/>
        </w:rPr>
        <w:t xml:space="preserve"> Patil risponde: “Affrontiamo ogni lavoro come se fosse il primo in assoluto per quel cliente. Tutti i clienti meritano lo stesso tempo e la stessa attenzione”.</w:t>
      </w:r>
    </w:p>
    <w:p w14:paraId="7124FDD6" w14:textId="77777777" w:rsidR="0037665E" w:rsidRPr="004F54A8" w:rsidRDefault="0037665E" w:rsidP="0037665E">
      <w:pPr>
        <w:autoSpaceDE w:val="0"/>
        <w:autoSpaceDN w:val="0"/>
        <w:adjustRightInd w:val="0"/>
        <w:spacing w:after="0" w:line="360" w:lineRule="auto"/>
        <w:rPr>
          <w:rFonts w:ascii="Arial" w:hAnsi="Arial" w:cs="Arial"/>
        </w:rPr>
      </w:pPr>
    </w:p>
    <w:p w14:paraId="108E4E5D" w14:textId="1EDBA480" w:rsidR="0037665E" w:rsidRDefault="00F44E11" w:rsidP="0037665E">
      <w:pPr>
        <w:autoSpaceDE w:val="0"/>
        <w:autoSpaceDN w:val="0"/>
        <w:adjustRightInd w:val="0"/>
        <w:spacing w:after="0" w:line="360" w:lineRule="auto"/>
        <w:rPr>
          <w:rFonts w:ascii="Arial" w:hAnsi="Arial" w:cs="Arial"/>
          <w:bCs/>
        </w:rPr>
      </w:pPr>
      <w:r>
        <w:rPr>
          <w:rFonts w:ascii="Arial" w:hAnsi="Arial"/>
        </w:rPr>
        <w:t xml:space="preserve">Questa strategia è vincente da oltre tre decenni, con progressi costanti per l’ufficio con sede a Mumbai culminati di recente con un Silver Award ai Global </w:t>
      </w:r>
      <w:proofErr w:type="spellStart"/>
      <w:r>
        <w:rPr>
          <w:rFonts w:ascii="Arial" w:hAnsi="Arial"/>
        </w:rPr>
        <w:t>Flexo</w:t>
      </w:r>
      <w:proofErr w:type="spellEnd"/>
      <w:r>
        <w:rPr>
          <w:rFonts w:ascii="Arial" w:hAnsi="Arial"/>
        </w:rPr>
        <w:t xml:space="preserve"> Innovation Awards (GFIA) sponsorizzati da Miraclon; il premio è stato un riconoscimento a un eccellente processo di conversione da rotocalco a </w:t>
      </w:r>
      <w:proofErr w:type="spellStart"/>
      <w:r>
        <w:rPr>
          <w:rFonts w:ascii="Arial" w:hAnsi="Arial"/>
        </w:rPr>
        <w:t>flexo</w:t>
      </w:r>
      <w:proofErr w:type="spellEnd"/>
      <w:r>
        <w:rPr>
          <w:rFonts w:ascii="Arial" w:hAnsi="Arial"/>
        </w:rPr>
        <w:t xml:space="preserve"> tramite la stampa di tipo ‘</w:t>
      </w:r>
      <w:proofErr w:type="spellStart"/>
      <w:r>
        <w:rPr>
          <w:rFonts w:ascii="Arial" w:hAnsi="Arial"/>
        </w:rPr>
        <w:t>direct</w:t>
      </w:r>
      <w:proofErr w:type="spellEnd"/>
      <w:r>
        <w:rPr>
          <w:rFonts w:ascii="Arial" w:hAnsi="Arial"/>
        </w:rPr>
        <w:t xml:space="preserve">-to-tube’ per più di 2.500 SKU di prodotti per la cura della pelle. In merito al contributo delle KODAK FLEXCEL NX </w:t>
      </w:r>
      <w:proofErr w:type="spellStart"/>
      <w:r>
        <w:rPr>
          <w:rFonts w:ascii="Arial" w:hAnsi="Arial"/>
        </w:rPr>
        <w:t>Plates</w:t>
      </w:r>
      <w:proofErr w:type="spellEnd"/>
      <w:r>
        <w:rPr>
          <w:rFonts w:ascii="Arial" w:hAnsi="Arial"/>
        </w:rPr>
        <w:t xml:space="preserve"> per il successo della procedura, in termini sia di produttività sia di qualità, </w:t>
      </w:r>
      <w:proofErr w:type="spellStart"/>
      <w:r>
        <w:rPr>
          <w:rFonts w:ascii="Arial" w:hAnsi="Arial"/>
        </w:rPr>
        <w:t>Nitin</w:t>
      </w:r>
      <w:proofErr w:type="spellEnd"/>
      <w:r>
        <w:rPr>
          <w:rFonts w:ascii="Arial" w:hAnsi="Arial"/>
        </w:rPr>
        <w:t xml:space="preserve"> ritiene che il passaggio alla stampa “</w:t>
      </w:r>
      <w:proofErr w:type="spellStart"/>
      <w:r>
        <w:rPr>
          <w:rFonts w:ascii="Arial" w:hAnsi="Arial"/>
        </w:rPr>
        <w:t>direct</w:t>
      </w:r>
      <w:proofErr w:type="spellEnd"/>
      <w:r>
        <w:rPr>
          <w:rFonts w:ascii="Arial" w:hAnsi="Arial"/>
        </w:rPr>
        <w:t xml:space="preserve">-to-tube” sarebbe stato impossibile senza quelle lastre. “Il produttore ha ottenuto risultati eccellenti con una lineatura di retino di 150-175 </w:t>
      </w:r>
      <w:proofErr w:type="spellStart"/>
      <w:r>
        <w:rPr>
          <w:rFonts w:ascii="Arial" w:hAnsi="Arial"/>
        </w:rPr>
        <w:t>lpi</w:t>
      </w:r>
      <w:proofErr w:type="spellEnd"/>
      <w:r>
        <w:rPr>
          <w:rFonts w:ascii="Arial" w:hAnsi="Arial"/>
        </w:rPr>
        <w:t xml:space="preserve"> e una velocità di produzione di 130 tubetti al minuto”.</w:t>
      </w:r>
    </w:p>
    <w:p w14:paraId="38DA06B2" w14:textId="77777777" w:rsidR="00F93468" w:rsidRPr="004F54A8" w:rsidRDefault="00F93468" w:rsidP="0037665E">
      <w:pPr>
        <w:autoSpaceDE w:val="0"/>
        <w:autoSpaceDN w:val="0"/>
        <w:adjustRightInd w:val="0"/>
        <w:spacing w:after="0" w:line="360" w:lineRule="auto"/>
        <w:rPr>
          <w:rFonts w:ascii="Arial" w:hAnsi="Arial" w:cs="Arial"/>
        </w:rPr>
      </w:pPr>
    </w:p>
    <w:p w14:paraId="47E67035" w14:textId="49715DEB" w:rsidR="0037665E" w:rsidRPr="0037665E" w:rsidRDefault="0037665E" w:rsidP="0037665E">
      <w:pPr>
        <w:autoSpaceDE w:val="0"/>
        <w:autoSpaceDN w:val="0"/>
        <w:adjustRightInd w:val="0"/>
        <w:spacing w:after="0" w:line="360" w:lineRule="auto"/>
        <w:rPr>
          <w:rFonts w:ascii="Arial" w:hAnsi="Arial" w:cs="Arial"/>
          <w:b/>
          <w:bCs/>
        </w:rPr>
      </w:pPr>
      <w:r>
        <w:rPr>
          <w:rFonts w:ascii="Arial" w:hAnsi="Arial"/>
          <w:b/>
        </w:rPr>
        <w:t xml:space="preserve">Fiducia nella </w:t>
      </w:r>
      <w:proofErr w:type="spellStart"/>
      <w:r>
        <w:rPr>
          <w:rFonts w:ascii="Arial" w:hAnsi="Arial"/>
          <w:b/>
        </w:rPr>
        <w:t>flexo</w:t>
      </w:r>
      <w:proofErr w:type="spellEnd"/>
    </w:p>
    <w:p w14:paraId="6E6B82E2" w14:textId="0E1793E5" w:rsidR="0037665E" w:rsidRPr="0037665E" w:rsidRDefault="00BB2AE7" w:rsidP="0037665E">
      <w:pPr>
        <w:autoSpaceDE w:val="0"/>
        <w:autoSpaceDN w:val="0"/>
        <w:adjustRightInd w:val="0"/>
        <w:spacing w:after="0" w:line="360" w:lineRule="auto"/>
        <w:rPr>
          <w:rFonts w:ascii="Arial" w:hAnsi="Arial" w:cs="Arial"/>
        </w:rPr>
      </w:pPr>
      <w:r>
        <w:rPr>
          <w:rFonts w:ascii="Arial" w:hAnsi="Arial"/>
        </w:rPr>
        <w:t xml:space="preserve">Nel 2014, </w:t>
      </w:r>
      <w:proofErr w:type="spellStart"/>
      <w:r>
        <w:rPr>
          <w:rFonts w:ascii="Arial" w:hAnsi="Arial"/>
        </w:rPr>
        <w:t>Numex</w:t>
      </w:r>
      <w:proofErr w:type="spellEnd"/>
      <w:r>
        <w:rPr>
          <w:rFonts w:ascii="Arial" w:hAnsi="Arial"/>
        </w:rPr>
        <w:t xml:space="preserve"> ha investito in un KODAK FLEXCEL NX System. In seguito, altri FLEXCEL NX Systems sono stati installati presso le consociate di </w:t>
      </w:r>
      <w:proofErr w:type="spellStart"/>
      <w:r>
        <w:rPr>
          <w:rFonts w:ascii="Arial" w:hAnsi="Arial"/>
        </w:rPr>
        <w:t>Numex</w:t>
      </w:r>
      <w:proofErr w:type="spellEnd"/>
      <w:r>
        <w:rPr>
          <w:rFonts w:ascii="Arial" w:hAnsi="Arial"/>
        </w:rPr>
        <w:t xml:space="preserve"> — </w:t>
      </w:r>
      <w:proofErr w:type="spellStart"/>
      <w:r>
        <w:rPr>
          <w:rFonts w:ascii="Arial" w:hAnsi="Arial"/>
        </w:rPr>
        <w:t>Nuflex</w:t>
      </w:r>
      <w:proofErr w:type="spellEnd"/>
      <w:r>
        <w:rPr>
          <w:rFonts w:ascii="Arial" w:hAnsi="Arial"/>
        </w:rPr>
        <w:t xml:space="preserve"> Graphics a Pune e NS Digital </w:t>
      </w:r>
      <w:proofErr w:type="spellStart"/>
      <w:r>
        <w:rPr>
          <w:rFonts w:ascii="Arial" w:hAnsi="Arial"/>
        </w:rPr>
        <w:t>Flexo</w:t>
      </w:r>
      <w:proofErr w:type="spellEnd"/>
      <w:r>
        <w:rPr>
          <w:rFonts w:ascii="Arial" w:hAnsi="Arial"/>
        </w:rPr>
        <w:t xml:space="preserve"> a Hyderabad. I quattro investimenti – con un quinto sistema previsto sul finire di quest’anno - sono un chiaro segnale della fiducia riposta da </w:t>
      </w:r>
      <w:proofErr w:type="spellStart"/>
      <w:r>
        <w:rPr>
          <w:rFonts w:ascii="Arial" w:hAnsi="Arial"/>
        </w:rPr>
        <w:t>Nitin</w:t>
      </w:r>
      <w:proofErr w:type="spellEnd"/>
      <w:r>
        <w:rPr>
          <w:rFonts w:ascii="Arial" w:hAnsi="Arial"/>
        </w:rPr>
        <w:t xml:space="preserve"> Patil nella </w:t>
      </w:r>
      <w:proofErr w:type="spellStart"/>
      <w:r>
        <w:rPr>
          <w:rFonts w:ascii="Arial" w:hAnsi="Arial"/>
        </w:rPr>
        <w:t>flexo</w:t>
      </w:r>
      <w:proofErr w:type="spellEnd"/>
      <w:r>
        <w:rPr>
          <w:rFonts w:ascii="Arial" w:hAnsi="Arial"/>
        </w:rPr>
        <w:t xml:space="preserve"> e nella FLEXCEL NX Technology, soprattutto per il packaging flessibile. “La transizione dal rotocalco alla </w:t>
      </w:r>
      <w:proofErr w:type="spellStart"/>
      <w:r>
        <w:rPr>
          <w:rFonts w:ascii="Arial" w:hAnsi="Arial"/>
        </w:rPr>
        <w:t>flexo</w:t>
      </w:r>
      <w:proofErr w:type="spellEnd"/>
      <w:r>
        <w:rPr>
          <w:rFonts w:ascii="Arial" w:hAnsi="Arial"/>
        </w:rPr>
        <w:t xml:space="preserve"> è in corso in tutta l’Asia, non solo in India”, dichiara </w:t>
      </w:r>
      <w:proofErr w:type="spellStart"/>
      <w:r>
        <w:rPr>
          <w:rFonts w:ascii="Arial" w:hAnsi="Arial"/>
        </w:rPr>
        <w:t>Nitin</w:t>
      </w:r>
      <w:proofErr w:type="spellEnd"/>
      <w:r>
        <w:rPr>
          <w:rFonts w:ascii="Arial" w:hAnsi="Arial"/>
        </w:rPr>
        <w:t xml:space="preserve">, aggiungendo che un fattore a favore della </w:t>
      </w:r>
      <w:proofErr w:type="spellStart"/>
      <w:r>
        <w:rPr>
          <w:rFonts w:ascii="Arial" w:hAnsi="Arial"/>
        </w:rPr>
        <w:t>flexo</w:t>
      </w:r>
      <w:proofErr w:type="spellEnd"/>
      <w:r>
        <w:rPr>
          <w:rFonts w:ascii="Arial" w:hAnsi="Arial"/>
        </w:rPr>
        <w:t xml:space="preserve">, e in particolare delle FLEXCEL NX </w:t>
      </w:r>
      <w:proofErr w:type="spellStart"/>
      <w:r>
        <w:rPr>
          <w:rFonts w:ascii="Arial" w:hAnsi="Arial"/>
        </w:rPr>
        <w:t>Plates</w:t>
      </w:r>
      <w:proofErr w:type="spellEnd"/>
      <w:r>
        <w:rPr>
          <w:rFonts w:ascii="Arial" w:hAnsi="Arial"/>
        </w:rPr>
        <w:t>, è la sua “capacità di ottenere risultati di alta qualità su substrati più sottili e sostenibili in polietilene (PE) — per i quali, invece, con il rotocalco si hanno limitazioni”.</w:t>
      </w:r>
    </w:p>
    <w:p w14:paraId="2D890BF1" w14:textId="77777777" w:rsidR="0037665E" w:rsidRPr="004F54A8" w:rsidRDefault="0037665E" w:rsidP="0037665E">
      <w:pPr>
        <w:autoSpaceDE w:val="0"/>
        <w:autoSpaceDN w:val="0"/>
        <w:adjustRightInd w:val="0"/>
        <w:spacing w:after="0" w:line="360" w:lineRule="auto"/>
        <w:rPr>
          <w:rFonts w:ascii="Arial" w:hAnsi="Arial" w:cs="Arial"/>
        </w:rPr>
      </w:pPr>
    </w:p>
    <w:p w14:paraId="7D9BEF7E" w14:textId="0C32FA3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Il progetto vincente ha dimostrato proprio questi vantaggi, oltre al marchio di fabbrica di </w:t>
      </w:r>
      <w:proofErr w:type="spellStart"/>
      <w:r>
        <w:rPr>
          <w:rFonts w:ascii="Arial" w:hAnsi="Arial"/>
        </w:rPr>
        <w:t>Numex</w:t>
      </w:r>
      <w:proofErr w:type="spellEnd"/>
      <w:r>
        <w:rPr>
          <w:rFonts w:ascii="Arial" w:hAnsi="Arial"/>
        </w:rPr>
        <w:t xml:space="preserve">: l’attenzione continua per i dettagli, in ogni lavoro. Il progetto si prefiggeva, tra gli obiettivi importanti, di migliorare le prestazioni in materia di sostenibilità di un notevole numero di prodotti in tubetti per la cura della pelle — in totale, più di 2.500 SKU. </w:t>
      </w:r>
      <w:proofErr w:type="spellStart"/>
      <w:r>
        <w:rPr>
          <w:rFonts w:ascii="Arial" w:hAnsi="Arial"/>
        </w:rPr>
        <w:t>Nitin</w:t>
      </w:r>
      <w:proofErr w:type="spellEnd"/>
      <w:r>
        <w:rPr>
          <w:rFonts w:ascii="Arial" w:hAnsi="Arial"/>
        </w:rPr>
        <w:t xml:space="preserve"> dichiara:  “Il rotocalco e altri processi di produzione comportano in genere la stampa su substrati di plastica, che poi vengono applicati ai tubetti. Oltre a rappresentare una fase di produzione in più, questo passaggio aumenta la complessità al momento del riciclaggio perché occorre separare le etichette e gli involucri dai tubetti”.</w:t>
      </w:r>
    </w:p>
    <w:p w14:paraId="623FB7E5" w14:textId="77777777" w:rsidR="0037665E" w:rsidRPr="004F54A8" w:rsidRDefault="0037665E" w:rsidP="0037665E">
      <w:pPr>
        <w:autoSpaceDE w:val="0"/>
        <w:autoSpaceDN w:val="0"/>
        <w:adjustRightInd w:val="0"/>
        <w:spacing w:after="0" w:line="360" w:lineRule="auto"/>
        <w:rPr>
          <w:rFonts w:ascii="Arial" w:hAnsi="Arial" w:cs="Arial"/>
          <w:bCs/>
        </w:rPr>
      </w:pPr>
    </w:p>
    <w:p w14:paraId="417EC799" w14:textId="686D7ADD" w:rsidR="0037665E" w:rsidRPr="0037665E" w:rsidRDefault="000B49C9" w:rsidP="0037665E">
      <w:pPr>
        <w:autoSpaceDE w:val="0"/>
        <w:autoSpaceDN w:val="0"/>
        <w:adjustRightInd w:val="0"/>
        <w:spacing w:after="0" w:line="360" w:lineRule="auto"/>
        <w:rPr>
          <w:rFonts w:ascii="Arial" w:hAnsi="Arial" w:cs="Arial"/>
          <w:bCs/>
        </w:rPr>
      </w:pPr>
      <w:r>
        <w:rPr>
          <w:rFonts w:ascii="Arial" w:hAnsi="Arial"/>
        </w:rPr>
        <w:t xml:space="preserve">Un produttore di imballaggi, cliente di </w:t>
      </w:r>
      <w:proofErr w:type="spellStart"/>
      <w:r>
        <w:rPr>
          <w:rFonts w:ascii="Arial" w:hAnsi="Arial"/>
        </w:rPr>
        <w:t>Numex</w:t>
      </w:r>
      <w:proofErr w:type="spellEnd"/>
      <w:r>
        <w:rPr>
          <w:rFonts w:ascii="Arial" w:hAnsi="Arial"/>
        </w:rPr>
        <w:t>, intendeva esaminare un workflow ‘</w:t>
      </w:r>
      <w:proofErr w:type="spellStart"/>
      <w:r>
        <w:rPr>
          <w:rFonts w:ascii="Arial" w:hAnsi="Arial"/>
        </w:rPr>
        <w:t>direct</w:t>
      </w:r>
      <w:proofErr w:type="spellEnd"/>
      <w:r>
        <w:rPr>
          <w:rFonts w:ascii="Arial" w:hAnsi="Arial"/>
        </w:rPr>
        <w:t xml:space="preserve">-to-tube’ per eliminare la variabilità nel riciclaggio e una fase di produzione; a tal fine, aveva investito in una speciale macchina da stampa rotativa a 13 colori per moduli. Il passaggio successivo è stato un colloquio tra </w:t>
      </w:r>
      <w:proofErr w:type="spellStart"/>
      <w:r>
        <w:rPr>
          <w:rFonts w:ascii="Arial" w:hAnsi="Arial"/>
        </w:rPr>
        <w:t>Numex</w:t>
      </w:r>
      <w:proofErr w:type="spellEnd"/>
      <w:r>
        <w:rPr>
          <w:rFonts w:ascii="Arial" w:hAnsi="Arial"/>
        </w:rPr>
        <w:t xml:space="preserve">, il produttore e il brand </w:t>
      </w:r>
      <w:proofErr w:type="spellStart"/>
      <w:r>
        <w:rPr>
          <w:rFonts w:ascii="Arial" w:hAnsi="Arial"/>
        </w:rPr>
        <w:t>owner</w:t>
      </w:r>
      <w:proofErr w:type="spellEnd"/>
      <w:r>
        <w:rPr>
          <w:rFonts w:ascii="Arial" w:hAnsi="Arial"/>
        </w:rPr>
        <w:t xml:space="preserve"> per identificare ogni potenziale difficoltà posta dai prodotti stessi e per definire il workflow, compresi la realizzazione degli esatti colori per le tonalità della pelle, il modo migliore di rivitalizzare gli imballaggi e, considerato l’elevato numero di SKU, la velocizzazione dell’impostazione e dei cambi di lavoro. “I tubetti erano in polietilene </w:t>
      </w:r>
      <w:proofErr w:type="spellStart"/>
      <w:r>
        <w:rPr>
          <w:rFonts w:ascii="Arial" w:hAnsi="Arial"/>
        </w:rPr>
        <w:t>coestruso</w:t>
      </w:r>
      <w:proofErr w:type="spellEnd"/>
      <w:r>
        <w:rPr>
          <w:rFonts w:ascii="Arial" w:hAnsi="Arial"/>
        </w:rPr>
        <w:t xml:space="preserve"> standard, sul quale è difficile stampare”, afferma </w:t>
      </w:r>
      <w:proofErr w:type="spellStart"/>
      <w:r>
        <w:rPr>
          <w:rFonts w:ascii="Arial" w:hAnsi="Arial"/>
        </w:rPr>
        <w:t>Nitin</w:t>
      </w:r>
      <w:proofErr w:type="spellEnd"/>
      <w:r>
        <w:rPr>
          <w:rFonts w:ascii="Arial" w:hAnsi="Arial"/>
        </w:rPr>
        <w:t xml:space="preserve">. “Inoltre, molti lavori erano in otto colori e ogni SKU presentava caratteristiche di design differenti — per esempio, rivestimento opaco per conferire un aspetto premium, vernici a zone e grafica con gradienti impegnativi che sfumavano quasi a zero. Questi rivestimenti e queste vernici sono stati realizzati con le FLEXCEL NX </w:t>
      </w:r>
      <w:proofErr w:type="spellStart"/>
      <w:r>
        <w:rPr>
          <w:rFonts w:ascii="Arial" w:hAnsi="Arial"/>
        </w:rPr>
        <w:t>Plates</w:t>
      </w:r>
      <w:proofErr w:type="spellEnd"/>
      <w:r>
        <w:rPr>
          <w:rFonts w:ascii="Arial" w:hAnsi="Arial"/>
        </w:rPr>
        <w:t>. Ci siamo quindi impegnati a fondo per stabilire il modo migliore per riprodurre, e persino migliorare, i colori e le texture”.</w:t>
      </w:r>
    </w:p>
    <w:p w14:paraId="37BC18A4" w14:textId="77777777" w:rsidR="0037665E" w:rsidRPr="004F54A8" w:rsidRDefault="0037665E" w:rsidP="0037665E">
      <w:pPr>
        <w:autoSpaceDE w:val="0"/>
        <w:autoSpaceDN w:val="0"/>
        <w:adjustRightInd w:val="0"/>
        <w:spacing w:after="0" w:line="360" w:lineRule="auto"/>
        <w:rPr>
          <w:rFonts w:ascii="Arial" w:hAnsi="Arial" w:cs="Arial"/>
          <w:bCs/>
        </w:rPr>
      </w:pPr>
    </w:p>
    <w:p w14:paraId="460A202C" w14:textId="77777777" w:rsidR="0037665E" w:rsidRPr="0037665E" w:rsidRDefault="0037665E" w:rsidP="0037665E">
      <w:pPr>
        <w:autoSpaceDE w:val="0"/>
        <w:autoSpaceDN w:val="0"/>
        <w:adjustRightInd w:val="0"/>
        <w:spacing w:after="0" w:line="360" w:lineRule="auto"/>
        <w:rPr>
          <w:rFonts w:ascii="Arial" w:hAnsi="Arial" w:cs="Arial"/>
          <w:b/>
        </w:rPr>
      </w:pPr>
      <w:r>
        <w:rPr>
          <w:rFonts w:ascii="Arial" w:hAnsi="Arial"/>
          <w:b/>
        </w:rPr>
        <w:t>“Colori fantastici, immagini sorprendenti”</w:t>
      </w:r>
    </w:p>
    <w:p w14:paraId="15EEA080" w14:textId="2640CDA1"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La dedizione ha dato i suoi frutti, e i giudici dei GFIA hanno avuto parole di elogio per l’ottimale razionalizzazione del processo di produzione e il miglioramento della sostenibilità dei prodotti, oltre che per “l’eccellente qualità di stampa, i fantastici colori e le immagini sorprendenti”. </w:t>
      </w:r>
    </w:p>
    <w:p w14:paraId="7E900438" w14:textId="77777777" w:rsidR="0037665E" w:rsidRPr="004F54A8" w:rsidRDefault="0037665E" w:rsidP="0037665E">
      <w:pPr>
        <w:autoSpaceDE w:val="0"/>
        <w:autoSpaceDN w:val="0"/>
        <w:adjustRightInd w:val="0"/>
        <w:spacing w:after="0" w:line="360" w:lineRule="auto"/>
        <w:rPr>
          <w:rFonts w:ascii="Arial" w:hAnsi="Arial" w:cs="Arial"/>
          <w:bCs/>
        </w:rPr>
      </w:pPr>
    </w:p>
    <w:p w14:paraId="75FEE19C" w14:textId="38AD6287" w:rsidR="0037665E" w:rsidRPr="0037665E" w:rsidRDefault="0005398C" w:rsidP="0037665E">
      <w:pPr>
        <w:autoSpaceDE w:val="0"/>
        <w:autoSpaceDN w:val="0"/>
        <w:adjustRightInd w:val="0"/>
        <w:spacing w:after="0" w:line="360" w:lineRule="auto"/>
        <w:rPr>
          <w:rFonts w:ascii="Arial" w:hAnsi="Arial" w:cs="Arial"/>
          <w:bCs/>
        </w:rPr>
      </w:pPr>
      <w:r>
        <w:rPr>
          <w:rFonts w:ascii="Arial" w:hAnsi="Arial"/>
        </w:rPr>
        <w:t xml:space="preserve">Produttività e qualità erano esattamente le caratteristiche desiderate da </w:t>
      </w:r>
      <w:proofErr w:type="spellStart"/>
      <w:r>
        <w:rPr>
          <w:rFonts w:ascii="Arial" w:hAnsi="Arial"/>
        </w:rPr>
        <w:t>Numex</w:t>
      </w:r>
      <w:proofErr w:type="spellEnd"/>
      <w:r>
        <w:rPr>
          <w:rFonts w:ascii="Arial" w:hAnsi="Arial"/>
        </w:rPr>
        <w:t xml:space="preserve"> con il suo investimento nel FLEXCEL NX System. </w:t>
      </w:r>
      <w:proofErr w:type="spellStart"/>
      <w:r>
        <w:rPr>
          <w:rFonts w:ascii="Arial" w:hAnsi="Arial"/>
        </w:rPr>
        <w:t>Nitin</w:t>
      </w:r>
      <w:proofErr w:type="spellEnd"/>
      <w:r>
        <w:rPr>
          <w:rFonts w:ascii="Arial" w:hAnsi="Arial"/>
        </w:rPr>
        <w:t xml:space="preserve"> ricorda: “Entro il 2014, e in gran parte grazie alla FLEXCEL NX Technology, i brand avevano riconosciuto che la </w:t>
      </w:r>
      <w:proofErr w:type="spellStart"/>
      <w:r>
        <w:rPr>
          <w:rFonts w:ascii="Arial" w:hAnsi="Arial"/>
        </w:rPr>
        <w:t>flexo</w:t>
      </w:r>
      <w:proofErr w:type="spellEnd"/>
      <w:r>
        <w:rPr>
          <w:rFonts w:ascii="Arial" w:hAnsi="Arial"/>
        </w:rPr>
        <w:t xml:space="preserve"> garantiva risultati di alta qualità e che si trattava inoltre di una soluzione più produttiva e conveniente, che avrebbe ridotto le spese della filiera — e questo era un elemento fondamentale”. Elenca poi una serie di vantaggi assicurati dalla FLEXCEL NX Technology, fra cui imaging di precisione, velocità di </w:t>
      </w:r>
      <w:r>
        <w:rPr>
          <w:rFonts w:ascii="Arial" w:hAnsi="Arial"/>
        </w:rPr>
        <w:lastRenderedPageBreak/>
        <w:t xml:space="preserve">messa a registro e definizione del colore, che permettono di accorciare i tempi di preparazione e di migliorare sensibilmente la durata e la produttività: “I tempi di imaging, processo e asciugatura sono accorciati — rispetto ad altre tecnologie, il tempo di produzione complessivo di una lastra è inferiore di 30-35 minuti”. </w:t>
      </w:r>
    </w:p>
    <w:p w14:paraId="4E2214E2" w14:textId="77777777" w:rsidR="0037665E" w:rsidRPr="004F54A8" w:rsidRDefault="0037665E" w:rsidP="0037665E">
      <w:pPr>
        <w:autoSpaceDE w:val="0"/>
        <w:autoSpaceDN w:val="0"/>
        <w:adjustRightInd w:val="0"/>
        <w:spacing w:after="0" w:line="360" w:lineRule="auto"/>
        <w:rPr>
          <w:rFonts w:ascii="Arial" w:hAnsi="Arial" w:cs="Arial"/>
          <w:bCs/>
        </w:rPr>
      </w:pPr>
    </w:p>
    <w:p w14:paraId="0C87FBA5" w14:textId="390034BF"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Oltre il 60% della produzione di </w:t>
      </w:r>
      <w:proofErr w:type="spellStart"/>
      <w:r>
        <w:rPr>
          <w:rFonts w:ascii="Arial" w:hAnsi="Arial"/>
        </w:rPr>
        <w:t>Numex</w:t>
      </w:r>
      <w:proofErr w:type="spellEnd"/>
      <w:r>
        <w:rPr>
          <w:rFonts w:ascii="Arial" w:hAnsi="Arial"/>
        </w:rPr>
        <w:t xml:space="preserve"> — sia packaging flessibile che etichette — è ora realizzato con le FLEXCEL NX </w:t>
      </w:r>
      <w:proofErr w:type="spellStart"/>
      <w:r>
        <w:rPr>
          <w:rFonts w:ascii="Arial" w:hAnsi="Arial"/>
        </w:rPr>
        <w:t>Plates</w:t>
      </w:r>
      <w:proofErr w:type="spellEnd"/>
      <w:r>
        <w:rPr>
          <w:rFonts w:ascii="Arial" w:hAnsi="Arial"/>
        </w:rPr>
        <w:t xml:space="preserve">, dichiara </w:t>
      </w:r>
      <w:proofErr w:type="spellStart"/>
      <w:r>
        <w:rPr>
          <w:rFonts w:ascii="Arial" w:hAnsi="Arial"/>
        </w:rPr>
        <w:t>Nitin</w:t>
      </w:r>
      <w:proofErr w:type="spellEnd"/>
      <w:r>
        <w:rPr>
          <w:rFonts w:ascii="Arial" w:hAnsi="Arial"/>
        </w:rPr>
        <w:t xml:space="preserve"> per poi mettere in evidenza le molteplici funzioni avanzate di </w:t>
      </w:r>
      <w:proofErr w:type="spellStart"/>
      <w:r>
        <w:rPr>
          <w:rFonts w:ascii="Arial" w:hAnsi="Arial"/>
        </w:rPr>
        <w:t>patterning</w:t>
      </w:r>
      <w:proofErr w:type="spellEnd"/>
      <w:r>
        <w:rPr>
          <w:rFonts w:ascii="Arial" w:hAnsi="Arial"/>
        </w:rPr>
        <w:t xml:space="preserve"> superficiale offerte da Miraclon per ottenere “densità ottimali dell’inchiostro, su ogni substrato. Il controllo del flusso di inchiostro avviene come in un mini </w:t>
      </w:r>
      <w:proofErr w:type="spellStart"/>
      <w:r>
        <w:rPr>
          <w:rFonts w:ascii="Arial" w:hAnsi="Arial"/>
        </w:rPr>
        <w:t>anilox</w:t>
      </w:r>
      <w:proofErr w:type="spellEnd"/>
      <w:r>
        <w:rPr>
          <w:rFonts w:ascii="Arial" w:hAnsi="Arial"/>
        </w:rPr>
        <w:t xml:space="preserve">! Possiamo gestire in modo affidabile le mezzetinte sottili in lavori che utilizzano lineature di retino di 175-200 </w:t>
      </w:r>
      <w:proofErr w:type="spellStart"/>
      <w:r>
        <w:rPr>
          <w:rFonts w:ascii="Arial" w:hAnsi="Arial"/>
        </w:rPr>
        <w:t>lpi</w:t>
      </w:r>
      <w:proofErr w:type="spellEnd"/>
      <w:r>
        <w:rPr>
          <w:rFonts w:ascii="Arial" w:hAnsi="Arial"/>
        </w:rPr>
        <w:t>, e realizzare anche vignette uniformi”.</w:t>
      </w:r>
    </w:p>
    <w:p w14:paraId="57CD9EBD" w14:textId="77777777" w:rsidR="0037665E" w:rsidRPr="004F54A8" w:rsidRDefault="0037665E" w:rsidP="0037665E">
      <w:pPr>
        <w:autoSpaceDE w:val="0"/>
        <w:autoSpaceDN w:val="0"/>
        <w:adjustRightInd w:val="0"/>
        <w:spacing w:after="0" w:line="360" w:lineRule="auto"/>
        <w:rPr>
          <w:rFonts w:ascii="Arial" w:hAnsi="Arial" w:cs="Arial"/>
          <w:bCs/>
        </w:rPr>
      </w:pPr>
    </w:p>
    <w:p w14:paraId="064FA28A" w14:textId="2CF489FC" w:rsidR="0037665E" w:rsidRPr="0037665E" w:rsidRDefault="0037665E" w:rsidP="0037665E">
      <w:pPr>
        <w:autoSpaceDE w:val="0"/>
        <w:autoSpaceDN w:val="0"/>
        <w:adjustRightInd w:val="0"/>
        <w:spacing w:after="0" w:line="360" w:lineRule="auto"/>
        <w:rPr>
          <w:rFonts w:ascii="Arial" w:hAnsi="Arial" w:cs="Arial"/>
          <w:bCs/>
        </w:rPr>
      </w:pPr>
      <w:proofErr w:type="spellStart"/>
      <w:r>
        <w:rPr>
          <w:rFonts w:ascii="Arial" w:hAnsi="Arial"/>
        </w:rPr>
        <w:t>Nitin</w:t>
      </w:r>
      <w:proofErr w:type="spellEnd"/>
      <w:r>
        <w:rPr>
          <w:rFonts w:ascii="Arial" w:hAnsi="Arial"/>
        </w:rPr>
        <w:t xml:space="preserve"> si esprime inoltre positivamente in merito al supporto fornito da Miraclon sin da quando l'azienda ha iniziato a utilizzare un sistema FLEXCEL NX. “Il team Miraclon ci fornisce un’assistenza fantastica, completa per hardware e software, dalla calibrazione e ottimizzazione del workflow all’aiuto negli incontri che abbiamo con i nostri clienti riguardo al passaggio da rotocalco a </w:t>
      </w:r>
      <w:proofErr w:type="spellStart"/>
      <w:r>
        <w:rPr>
          <w:rFonts w:ascii="Arial" w:hAnsi="Arial"/>
        </w:rPr>
        <w:t>flexo</w:t>
      </w:r>
      <w:proofErr w:type="spellEnd"/>
      <w:r>
        <w:rPr>
          <w:rFonts w:ascii="Arial" w:hAnsi="Arial"/>
        </w:rPr>
        <w:t>, il che contribuisce in assoluto alla crescita del settore”.</w:t>
      </w:r>
    </w:p>
    <w:p w14:paraId="381B2E7F" w14:textId="6EB4D981" w:rsidR="0037665E" w:rsidRPr="004F54A8" w:rsidRDefault="0037665E" w:rsidP="0037665E">
      <w:pPr>
        <w:autoSpaceDE w:val="0"/>
        <w:autoSpaceDN w:val="0"/>
        <w:adjustRightInd w:val="0"/>
        <w:spacing w:after="0" w:line="360" w:lineRule="auto"/>
        <w:rPr>
          <w:rFonts w:ascii="Arial" w:hAnsi="Arial" w:cs="Arial"/>
          <w:bCs/>
        </w:rPr>
      </w:pPr>
    </w:p>
    <w:p w14:paraId="2B092845" w14:textId="6D0EC4B1" w:rsidR="001310EF" w:rsidRPr="001310EF" w:rsidRDefault="001310EF" w:rsidP="0037665E">
      <w:pPr>
        <w:autoSpaceDE w:val="0"/>
        <w:autoSpaceDN w:val="0"/>
        <w:adjustRightInd w:val="0"/>
        <w:spacing w:after="0" w:line="360" w:lineRule="auto"/>
        <w:rPr>
          <w:rFonts w:ascii="Arial" w:hAnsi="Arial" w:cs="Arial"/>
          <w:b/>
        </w:rPr>
      </w:pPr>
      <w:r>
        <w:rPr>
          <w:rFonts w:ascii="Arial" w:hAnsi="Arial"/>
          <w:b/>
        </w:rPr>
        <w:t xml:space="preserve">Un futuro luminoso con la </w:t>
      </w:r>
      <w:proofErr w:type="spellStart"/>
      <w:r>
        <w:rPr>
          <w:rFonts w:ascii="Arial" w:hAnsi="Arial"/>
          <w:b/>
        </w:rPr>
        <w:t>flexo</w:t>
      </w:r>
      <w:proofErr w:type="spellEnd"/>
    </w:p>
    <w:p w14:paraId="05D397FB" w14:textId="75A77E6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Guardando al futuro, </w:t>
      </w:r>
      <w:proofErr w:type="spellStart"/>
      <w:r>
        <w:rPr>
          <w:rFonts w:ascii="Arial" w:hAnsi="Arial"/>
        </w:rPr>
        <w:t>Numex</w:t>
      </w:r>
      <w:proofErr w:type="spellEnd"/>
      <w:r>
        <w:rPr>
          <w:rFonts w:ascii="Arial" w:hAnsi="Arial"/>
        </w:rPr>
        <w:t xml:space="preserve"> prevede di confermare la sua posizione di negozio leader incentrato sulla </w:t>
      </w:r>
      <w:proofErr w:type="spellStart"/>
      <w:r>
        <w:rPr>
          <w:rFonts w:ascii="Arial" w:hAnsi="Arial"/>
        </w:rPr>
        <w:t>flexo</w:t>
      </w:r>
      <w:proofErr w:type="spellEnd"/>
      <w:r>
        <w:rPr>
          <w:rFonts w:ascii="Arial" w:hAnsi="Arial"/>
        </w:rPr>
        <w:t>, e di lavorare a più stretto contatto con i clienti sin dalle primissime fasi dei progetti. “In questo modo siamo convinti di poter aiutare i brand ad accorciare ancor più i tempi di consegna”. Per conseguire questo risultato, è fondamentale tenere il passo della tecnologia perché è questa che ci consente di continuare a crescere, e la crescita è necessaria per garantirci un futuro migliore”.</w:t>
      </w:r>
    </w:p>
    <w:p w14:paraId="217A237F" w14:textId="77777777" w:rsidR="0037665E" w:rsidRPr="004F54A8" w:rsidRDefault="0037665E" w:rsidP="0037665E">
      <w:pPr>
        <w:autoSpaceDE w:val="0"/>
        <w:autoSpaceDN w:val="0"/>
        <w:adjustRightInd w:val="0"/>
        <w:spacing w:after="0" w:line="360" w:lineRule="auto"/>
        <w:rPr>
          <w:rFonts w:ascii="Arial" w:hAnsi="Arial" w:cs="Arial"/>
          <w:bCs/>
        </w:rPr>
      </w:pPr>
    </w:p>
    <w:p w14:paraId="65B07229" w14:textId="27DB5932" w:rsidR="0037665E" w:rsidRDefault="0037665E" w:rsidP="0037665E">
      <w:pPr>
        <w:autoSpaceDE w:val="0"/>
        <w:autoSpaceDN w:val="0"/>
        <w:adjustRightInd w:val="0"/>
        <w:spacing w:after="0" w:line="360" w:lineRule="auto"/>
        <w:rPr>
          <w:rFonts w:ascii="Arial" w:hAnsi="Arial" w:cs="Arial"/>
        </w:rPr>
      </w:pPr>
      <w:r>
        <w:rPr>
          <w:rFonts w:ascii="Arial" w:hAnsi="Arial"/>
        </w:rPr>
        <w:t xml:space="preserve">Di conseguenza, l’investimento di </w:t>
      </w:r>
      <w:proofErr w:type="spellStart"/>
      <w:r>
        <w:rPr>
          <w:rFonts w:ascii="Arial" w:hAnsi="Arial"/>
        </w:rPr>
        <w:t>Numex</w:t>
      </w:r>
      <w:proofErr w:type="spellEnd"/>
      <w:r>
        <w:rPr>
          <w:rFonts w:ascii="Arial" w:hAnsi="Arial"/>
        </w:rPr>
        <w:t xml:space="preserve"> nel nuovo KODAK FLEXCEL NX Central Software è in linea con questa strategia. Sviluppato da Miraclon appositamente per sostenere i clienti nel cammino verso l'efficienza, la riduzione degli sprechi e il risparmio sulla manodopera, il software è personalizzato per il FLEXCEL NX System e consente ai clienti di automatizzare la produzione di lastre, continuando tuttavia a utilizzare le molteplici funzioni avanzate di </w:t>
      </w:r>
      <w:proofErr w:type="spellStart"/>
      <w:r>
        <w:rPr>
          <w:rFonts w:ascii="Arial" w:hAnsi="Arial"/>
        </w:rPr>
        <w:t>patterning</w:t>
      </w:r>
      <w:proofErr w:type="spellEnd"/>
      <w:r>
        <w:rPr>
          <w:rFonts w:ascii="Arial" w:hAnsi="Arial"/>
        </w:rPr>
        <w:t xml:space="preserve"> superficiale.</w:t>
      </w:r>
    </w:p>
    <w:p w14:paraId="24F9910F" w14:textId="77777777" w:rsidR="005170A0" w:rsidRPr="004F54A8" w:rsidRDefault="005170A0" w:rsidP="0037665E">
      <w:pPr>
        <w:autoSpaceDE w:val="0"/>
        <w:autoSpaceDN w:val="0"/>
        <w:adjustRightInd w:val="0"/>
        <w:spacing w:after="0" w:line="360" w:lineRule="auto"/>
        <w:rPr>
          <w:rFonts w:ascii="Arial" w:hAnsi="Arial" w:cs="Arial"/>
        </w:rPr>
      </w:pPr>
    </w:p>
    <w:p w14:paraId="7078F7CC" w14:textId="61DAA8C2" w:rsidR="0037665E" w:rsidRPr="0037665E" w:rsidRDefault="001310EF" w:rsidP="0037665E">
      <w:pPr>
        <w:spacing w:after="0" w:line="360" w:lineRule="auto"/>
        <w:rPr>
          <w:rFonts w:ascii="Arial" w:hAnsi="Arial" w:cs="Arial"/>
        </w:rPr>
      </w:pPr>
      <w:proofErr w:type="spellStart"/>
      <w:r>
        <w:rPr>
          <w:rFonts w:ascii="Arial" w:hAnsi="Arial"/>
        </w:rPr>
        <w:t>Nitin</w:t>
      </w:r>
      <w:proofErr w:type="spellEnd"/>
      <w:r>
        <w:rPr>
          <w:rFonts w:ascii="Arial" w:hAnsi="Arial"/>
        </w:rPr>
        <w:t xml:space="preserve"> conclude: “Rispetto alla procedura manuale, con il FLEXCEL NX Central Software possiamo eseguire molto più velocemente la funzione di layout delle lastre, semplificando il </w:t>
      </w:r>
      <w:r>
        <w:rPr>
          <w:rFonts w:ascii="Arial" w:hAnsi="Arial"/>
        </w:rPr>
        <w:lastRenderedPageBreak/>
        <w:t>raggruppamento dei lavori. Grazie a questa funzione automatica siamo riusciti facilmente a dimezzare i tempi necessari per il layout delle lastre, perché non occorre riflettere né pianificare: dobbiamo semplicemente aggiungere i file in FLEXCEL NX Central e il software fa tutto automaticamente”.</w:t>
      </w:r>
    </w:p>
    <w:p w14:paraId="6BC73F73" w14:textId="77777777" w:rsidR="0037665E" w:rsidRPr="004F54A8" w:rsidRDefault="0037665E" w:rsidP="0037665E">
      <w:pPr>
        <w:autoSpaceDE w:val="0"/>
        <w:autoSpaceDN w:val="0"/>
        <w:adjustRightInd w:val="0"/>
        <w:spacing w:after="0" w:line="360" w:lineRule="auto"/>
        <w:rPr>
          <w:rFonts w:ascii="Arial" w:hAnsi="Arial" w:cs="Arial"/>
          <w:bCs/>
        </w:rPr>
      </w:pPr>
    </w:p>
    <w:p w14:paraId="5840D8A8" w14:textId="1773F16C" w:rsidR="00F35CAB" w:rsidRPr="0037665E" w:rsidRDefault="00F35CAB" w:rsidP="0037665E">
      <w:pPr>
        <w:spacing w:after="0" w:line="360" w:lineRule="auto"/>
        <w:jc w:val="center"/>
        <w:rPr>
          <w:rFonts w:ascii="Arial" w:hAnsi="Arial" w:cs="Arial"/>
          <w:color w:val="000000"/>
          <w:shd w:val="clear" w:color="auto" w:fill="FFFFFF"/>
        </w:rPr>
      </w:pPr>
      <w:r>
        <w:rPr>
          <w:rFonts w:ascii="Arial" w:hAnsi="Arial"/>
          <w:color w:val="000000"/>
          <w:shd w:val="clear" w:color="auto" w:fill="FFFFFF"/>
        </w:rPr>
        <w:t>FINE</w:t>
      </w:r>
    </w:p>
    <w:p w14:paraId="56018583" w14:textId="136BE529" w:rsidR="00C61EAC" w:rsidRPr="004F54A8" w:rsidRDefault="00C61EAC" w:rsidP="0037665E">
      <w:pPr>
        <w:spacing w:after="0" w:line="360" w:lineRule="auto"/>
        <w:rPr>
          <w:rFonts w:ascii="Arial" w:hAnsi="Arial" w:cs="Arial"/>
          <w:color w:val="000000"/>
          <w:shd w:val="clear" w:color="auto" w:fill="FFFFFF"/>
        </w:rPr>
      </w:pPr>
    </w:p>
    <w:p w14:paraId="7E3BC528" w14:textId="77777777" w:rsidR="00C61EAC" w:rsidRPr="004F54A8" w:rsidRDefault="00C61EAC" w:rsidP="0037665E">
      <w:pPr>
        <w:spacing w:after="0" w:line="360" w:lineRule="auto"/>
        <w:rPr>
          <w:rFonts w:ascii="Arial" w:hAnsi="Arial" w:cs="Arial"/>
        </w:rPr>
      </w:pPr>
    </w:p>
    <w:p w14:paraId="56078CA9" w14:textId="77777777" w:rsidR="00C61EAC" w:rsidRPr="004F54A8" w:rsidRDefault="00C61EAC" w:rsidP="0037665E">
      <w:pPr>
        <w:tabs>
          <w:tab w:val="left" w:pos="360"/>
          <w:tab w:val="right" w:pos="9360"/>
        </w:tabs>
        <w:spacing w:after="0" w:line="360" w:lineRule="auto"/>
        <w:textAlignment w:val="baseline"/>
        <w:rPr>
          <w:rFonts w:ascii="Arial" w:hAnsi="Arial" w:cs="Arial"/>
          <w:b/>
          <w:bCs/>
          <w:sz w:val="20"/>
          <w:szCs w:val="20"/>
        </w:rPr>
      </w:pPr>
      <w:r w:rsidRPr="004F54A8">
        <w:rPr>
          <w:rFonts w:ascii="Arial" w:hAnsi="Arial"/>
          <w:b/>
          <w:sz w:val="20"/>
          <w:szCs w:val="20"/>
        </w:rPr>
        <w:t>Informazioni su Miraclon</w:t>
      </w:r>
    </w:p>
    <w:p w14:paraId="4F037BCA" w14:textId="3C23C655" w:rsidR="00051A6A" w:rsidRPr="004F54A8" w:rsidRDefault="00C61EAC" w:rsidP="0037665E">
      <w:pPr>
        <w:spacing w:after="0" w:line="360" w:lineRule="auto"/>
        <w:rPr>
          <w:rFonts w:ascii="Arial" w:hAnsi="Arial" w:cs="Arial"/>
          <w:sz w:val="20"/>
          <w:szCs w:val="20"/>
        </w:rPr>
      </w:pPr>
      <w:r w:rsidRPr="004F54A8">
        <w:rPr>
          <w:rFonts w:ascii="Arial" w:hAnsi="Arial"/>
          <w:sz w:val="20"/>
          <w:szCs w:val="20"/>
        </w:rPr>
        <w:t xml:space="preserve">Nell'ultimo decennio le KODAK FLEXCEL Solutions hanno contribuito a trasformare la stampa flessografica. Oggi realizzate da Miraclon, le soluzioni KODAK FLEXCEL – tra cui FLEXCEL NX Systems, leader di settore – offrono ai clienti qualità superiore, miglior rapporto costi/benefici, maggiore produttività e altissimi risultati. Focalizzata su scienza d'immagine pionieristica, innovazione e collaborazione con partner e clienti, Miraclon è impegnata nel futuro della stampa </w:t>
      </w:r>
      <w:proofErr w:type="spellStart"/>
      <w:r w:rsidRPr="004F54A8">
        <w:rPr>
          <w:rFonts w:ascii="Arial" w:hAnsi="Arial"/>
          <w:sz w:val="20"/>
          <w:szCs w:val="20"/>
        </w:rPr>
        <w:t>flexo</w:t>
      </w:r>
      <w:proofErr w:type="spellEnd"/>
      <w:r w:rsidRPr="004F54A8">
        <w:rPr>
          <w:rFonts w:ascii="Arial" w:hAnsi="Arial"/>
          <w:sz w:val="20"/>
          <w:szCs w:val="20"/>
        </w:rPr>
        <w:t xml:space="preserve"> e vanta le competenze necessarie per guidare la trasformazione di questo settore. Maggiori informazioni su</w:t>
      </w:r>
      <w:r w:rsidRPr="004F54A8">
        <w:rPr>
          <w:rStyle w:val="Hyperlink"/>
          <w:rFonts w:ascii="Arial" w:hAnsi="Arial"/>
          <w:sz w:val="20"/>
          <w:szCs w:val="20"/>
        </w:rPr>
        <w:t xml:space="preserve"> </w:t>
      </w:r>
      <w:hyperlink r:id="rId9" w:history="1">
        <w:r w:rsidRPr="004F54A8">
          <w:rPr>
            <w:rStyle w:val="Hyperlink"/>
            <w:rFonts w:ascii="Arial" w:hAnsi="Arial"/>
            <w:sz w:val="20"/>
            <w:szCs w:val="20"/>
          </w:rPr>
          <w:t>www.miraclon.com</w:t>
        </w:r>
      </w:hyperlink>
      <w:r w:rsidRPr="004F54A8">
        <w:rPr>
          <w:rFonts w:ascii="Arial" w:hAnsi="Arial"/>
          <w:sz w:val="20"/>
          <w:szCs w:val="20"/>
        </w:rPr>
        <w:t xml:space="preserve">.  LinkedIn: </w:t>
      </w:r>
      <w:hyperlink r:id="rId10" w:history="1">
        <w:r w:rsidRPr="004F54A8">
          <w:rPr>
            <w:rStyle w:val="Hyperlink"/>
            <w:rFonts w:ascii="Arial" w:hAnsi="Arial"/>
            <w:sz w:val="20"/>
            <w:szCs w:val="20"/>
          </w:rPr>
          <w:t>Miraclon Corporation</w:t>
        </w:r>
      </w:hyperlink>
      <w:r w:rsidRPr="004F54A8">
        <w:rPr>
          <w:rFonts w:ascii="Arial" w:hAnsi="Arial"/>
          <w:sz w:val="20"/>
          <w:szCs w:val="20"/>
        </w:rPr>
        <w:t xml:space="preserve">. </w:t>
      </w:r>
    </w:p>
    <w:sectPr w:rsidR="00051A6A" w:rsidRPr="004F54A8" w:rsidSect="003F5F4F">
      <w:footerReference w:type="default" r:id="rId11"/>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0BDB" w14:textId="77777777" w:rsidR="00285631" w:rsidRDefault="00285631" w:rsidP="00C61EAC">
      <w:pPr>
        <w:spacing w:after="0" w:line="240" w:lineRule="auto"/>
      </w:pPr>
      <w:r>
        <w:separator/>
      </w:r>
    </w:p>
  </w:endnote>
  <w:endnote w:type="continuationSeparator" w:id="0">
    <w:p w14:paraId="3CFCFBD2" w14:textId="77777777" w:rsidR="00285631" w:rsidRDefault="00285631"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52096A16" w:rsidR="000A5EE0" w:rsidRDefault="009473E6" w:rsidP="000A5EE0">
    <w:pPr>
      <w:pStyle w:val="Footer"/>
      <w:tabs>
        <w:tab w:val="clear" w:pos="4680"/>
        <w:tab w:val="clear" w:pos="9360"/>
        <w:tab w:val="center" w:pos="4536"/>
      </w:tabs>
    </w:pPr>
    <w:r>
      <w:rPr>
        <w:noProof/>
      </w:rPr>
      <w:drawing>
        <wp:anchor distT="0" distB="0" distL="114300" distR="114300" simplePos="0" relativeHeight="251659264" behindDoc="0" locked="0" layoutInCell="1" allowOverlap="1" wp14:anchorId="235AECD3" wp14:editId="09E28753">
          <wp:simplePos x="0" y="0"/>
          <wp:positionH relativeFrom="margin">
            <wp:posOffset>5422265</wp:posOffset>
          </wp:positionH>
          <wp:positionV relativeFrom="page">
            <wp:posOffset>9316720</wp:posOffset>
          </wp:positionV>
          <wp:extent cx="550545" cy="543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p w14:paraId="3AB1F138" w14:textId="51660638"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B1A" w14:textId="77777777" w:rsidR="00285631" w:rsidRDefault="00285631" w:rsidP="00C61EAC">
      <w:pPr>
        <w:spacing w:after="0" w:line="240" w:lineRule="auto"/>
      </w:pPr>
      <w:r>
        <w:separator/>
      </w:r>
    </w:p>
  </w:footnote>
  <w:footnote w:type="continuationSeparator" w:id="0">
    <w:p w14:paraId="3307ED75" w14:textId="77777777" w:rsidR="00285631" w:rsidRDefault="00285631"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6F"/>
    <w:rsid w:val="00004561"/>
    <w:rsid w:val="00010C21"/>
    <w:rsid w:val="00015299"/>
    <w:rsid w:val="00051A6A"/>
    <w:rsid w:val="0005398C"/>
    <w:rsid w:val="00053FF9"/>
    <w:rsid w:val="0005704C"/>
    <w:rsid w:val="000574EC"/>
    <w:rsid w:val="00062C21"/>
    <w:rsid w:val="0006445D"/>
    <w:rsid w:val="000816E7"/>
    <w:rsid w:val="00097386"/>
    <w:rsid w:val="000A5EE0"/>
    <w:rsid w:val="000B49C9"/>
    <w:rsid w:val="000D4A60"/>
    <w:rsid w:val="000D4DCD"/>
    <w:rsid w:val="000D7F02"/>
    <w:rsid w:val="000E3ADB"/>
    <w:rsid w:val="000E6D7A"/>
    <w:rsid w:val="00103D72"/>
    <w:rsid w:val="001053C0"/>
    <w:rsid w:val="00107430"/>
    <w:rsid w:val="00107436"/>
    <w:rsid w:val="00115950"/>
    <w:rsid w:val="00124104"/>
    <w:rsid w:val="001310EF"/>
    <w:rsid w:val="001424AE"/>
    <w:rsid w:val="001452F7"/>
    <w:rsid w:val="00150996"/>
    <w:rsid w:val="00151EF3"/>
    <w:rsid w:val="00155C93"/>
    <w:rsid w:val="00161867"/>
    <w:rsid w:val="0016647F"/>
    <w:rsid w:val="001B0115"/>
    <w:rsid w:val="001C71A1"/>
    <w:rsid w:val="001E0BF3"/>
    <w:rsid w:val="001F0EA6"/>
    <w:rsid w:val="00204AAF"/>
    <w:rsid w:val="00206F1D"/>
    <w:rsid w:val="002150F6"/>
    <w:rsid w:val="00232DA1"/>
    <w:rsid w:val="00263257"/>
    <w:rsid w:val="002768EE"/>
    <w:rsid w:val="0028023B"/>
    <w:rsid w:val="00283344"/>
    <w:rsid w:val="00285631"/>
    <w:rsid w:val="002A40F2"/>
    <w:rsid w:val="002A7973"/>
    <w:rsid w:val="002B3FD5"/>
    <w:rsid w:val="002B554B"/>
    <w:rsid w:val="002C1A66"/>
    <w:rsid w:val="002C7015"/>
    <w:rsid w:val="002D333D"/>
    <w:rsid w:val="002D372A"/>
    <w:rsid w:val="002D3B35"/>
    <w:rsid w:val="002F084F"/>
    <w:rsid w:val="002F772E"/>
    <w:rsid w:val="00305F18"/>
    <w:rsid w:val="00322E0F"/>
    <w:rsid w:val="003258D5"/>
    <w:rsid w:val="00325A80"/>
    <w:rsid w:val="003272CC"/>
    <w:rsid w:val="00335FA5"/>
    <w:rsid w:val="003407EC"/>
    <w:rsid w:val="003452E8"/>
    <w:rsid w:val="00345363"/>
    <w:rsid w:val="00347BF3"/>
    <w:rsid w:val="00356656"/>
    <w:rsid w:val="00361BD8"/>
    <w:rsid w:val="00363FC7"/>
    <w:rsid w:val="00367655"/>
    <w:rsid w:val="00372E1A"/>
    <w:rsid w:val="00375BEB"/>
    <w:rsid w:val="0037665E"/>
    <w:rsid w:val="003810E8"/>
    <w:rsid w:val="00383236"/>
    <w:rsid w:val="00391E20"/>
    <w:rsid w:val="0039474F"/>
    <w:rsid w:val="003A0A0F"/>
    <w:rsid w:val="003B05DB"/>
    <w:rsid w:val="003B2B7A"/>
    <w:rsid w:val="003B5EDA"/>
    <w:rsid w:val="003B6807"/>
    <w:rsid w:val="003C5C2A"/>
    <w:rsid w:val="003D3D8C"/>
    <w:rsid w:val="003E09B6"/>
    <w:rsid w:val="003E4AD1"/>
    <w:rsid w:val="003E5D3B"/>
    <w:rsid w:val="003F5F4F"/>
    <w:rsid w:val="003F66E7"/>
    <w:rsid w:val="003F7D90"/>
    <w:rsid w:val="00407FA4"/>
    <w:rsid w:val="00413DE4"/>
    <w:rsid w:val="00416486"/>
    <w:rsid w:val="00432770"/>
    <w:rsid w:val="00433673"/>
    <w:rsid w:val="004428D8"/>
    <w:rsid w:val="00446D3C"/>
    <w:rsid w:val="004471AC"/>
    <w:rsid w:val="00454C13"/>
    <w:rsid w:val="00457BB7"/>
    <w:rsid w:val="00460D55"/>
    <w:rsid w:val="00473FC3"/>
    <w:rsid w:val="00475A85"/>
    <w:rsid w:val="004943AA"/>
    <w:rsid w:val="004A0459"/>
    <w:rsid w:val="004A5869"/>
    <w:rsid w:val="004B5357"/>
    <w:rsid w:val="004D2E19"/>
    <w:rsid w:val="004D3EB0"/>
    <w:rsid w:val="004E168A"/>
    <w:rsid w:val="004F4A6F"/>
    <w:rsid w:val="004F54A8"/>
    <w:rsid w:val="004F773A"/>
    <w:rsid w:val="005033EA"/>
    <w:rsid w:val="005035A1"/>
    <w:rsid w:val="00511C82"/>
    <w:rsid w:val="00511CB4"/>
    <w:rsid w:val="005170A0"/>
    <w:rsid w:val="00517B66"/>
    <w:rsid w:val="00524AAF"/>
    <w:rsid w:val="00537DF2"/>
    <w:rsid w:val="00543CF6"/>
    <w:rsid w:val="00547124"/>
    <w:rsid w:val="0056346B"/>
    <w:rsid w:val="00567F13"/>
    <w:rsid w:val="0059076B"/>
    <w:rsid w:val="005931BE"/>
    <w:rsid w:val="00594319"/>
    <w:rsid w:val="005A263C"/>
    <w:rsid w:val="005D5537"/>
    <w:rsid w:val="005E08E1"/>
    <w:rsid w:val="005E4254"/>
    <w:rsid w:val="00602B6C"/>
    <w:rsid w:val="0060485D"/>
    <w:rsid w:val="00612DE3"/>
    <w:rsid w:val="00620532"/>
    <w:rsid w:val="00664418"/>
    <w:rsid w:val="00682B38"/>
    <w:rsid w:val="00686F74"/>
    <w:rsid w:val="006872FE"/>
    <w:rsid w:val="006A4CB9"/>
    <w:rsid w:val="006C12F0"/>
    <w:rsid w:val="006D1174"/>
    <w:rsid w:val="006D53F1"/>
    <w:rsid w:val="006D7FC8"/>
    <w:rsid w:val="006F139C"/>
    <w:rsid w:val="006F1C4D"/>
    <w:rsid w:val="006F6FB2"/>
    <w:rsid w:val="0072219C"/>
    <w:rsid w:val="00722F0F"/>
    <w:rsid w:val="007324FF"/>
    <w:rsid w:val="00734CA4"/>
    <w:rsid w:val="00742850"/>
    <w:rsid w:val="00781598"/>
    <w:rsid w:val="00783948"/>
    <w:rsid w:val="00796A51"/>
    <w:rsid w:val="007A47DE"/>
    <w:rsid w:val="007A552A"/>
    <w:rsid w:val="007B47D0"/>
    <w:rsid w:val="007B62F5"/>
    <w:rsid w:val="007C3FBE"/>
    <w:rsid w:val="007E0F5D"/>
    <w:rsid w:val="007F477C"/>
    <w:rsid w:val="00802FE2"/>
    <w:rsid w:val="00803278"/>
    <w:rsid w:val="00814557"/>
    <w:rsid w:val="00817EBF"/>
    <w:rsid w:val="00823E89"/>
    <w:rsid w:val="0083432D"/>
    <w:rsid w:val="00853ABA"/>
    <w:rsid w:val="008559B1"/>
    <w:rsid w:val="008728B4"/>
    <w:rsid w:val="00875B2B"/>
    <w:rsid w:val="008816E3"/>
    <w:rsid w:val="008924D2"/>
    <w:rsid w:val="008C445A"/>
    <w:rsid w:val="008C797B"/>
    <w:rsid w:val="008F3CA8"/>
    <w:rsid w:val="009051BE"/>
    <w:rsid w:val="00906969"/>
    <w:rsid w:val="00926EA9"/>
    <w:rsid w:val="009446D8"/>
    <w:rsid w:val="009473E6"/>
    <w:rsid w:val="00972CA7"/>
    <w:rsid w:val="00982DFE"/>
    <w:rsid w:val="00985AB7"/>
    <w:rsid w:val="00987B96"/>
    <w:rsid w:val="00993B04"/>
    <w:rsid w:val="009A1618"/>
    <w:rsid w:val="009B6572"/>
    <w:rsid w:val="009B7C46"/>
    <w:rsid w:val="009C0430"/>
    <w:rsid w:val="009C045E"/>
    <w:rsid w:val="009D02DF"/>
    <w:rsid w:val="009D7F4F"/>
    <w:rsid w:val="00A27A6B"/>
    <w:rsid w:val="00A3564E"/>
    <w:rsid w:val="00A36C06"/>
    <w:rsid w:val="00A411C1"/>
    <w:rsid w:val="00A4749B"/>
    <w:rsid w:val="00A66E08"/>
    <w:rsid w:val="00A678B2"/>
    <w:rsid w:val="00A75320"/>
    <w:rsid w:val="00A81A9D"/>
    <w:rsid w:val="00A8605F"/>
    <w:rsid w:val="00A923D1"/>
    <w:rsid w:val="00AA22CF"/>
    <w:rsid w:val="00AA28AD"/>
    <w:rsid w:val="00AA2D94"/>
    <w:rsid w:val="00AB4752"/>
    <w:rsid w:val="00AD46C0"/>
    <w:rsid w:val="00AE3CE7"/>
    <w:rsid w:val="00AE57E6"/>
    <w:rsid w:val="00B10342"/>
    <w:rsid w:val="00B164F1"/>
    <w:rsid w:val="00B238F5"/>
    <w:rsid w:val="00B5165B"/>
    <w:rsid w:val="00B53A64"/>
    <w:rsid w:val="00B568C5"/>
    <w:rsid w:val="00B6568E"/>
    <w:rsid w:val="00B73CE9"/>
    <w:rsid w:val="00B7459A"/>
    <w:rsid w:val="00B7793E"/>
    <w:rsid w:val="00B94CDD"/>
    <w:rsid w:val="00BA7150"/>
    <w:rsid w:val="00BB2AE7"/>
    <w:rsid w:val="00BC02A5"/>
    <w:rsid w:val="00BE3DD7"/>
    <w:rsid w:val="00BF1928"/>
    <w:rsid w:val="00C050BB"/>
    <w:rsid w:val="00C07AC0"/>
    <w:rsid w:val="00C07E9E"/>
    <w:rsid w:val="00C33F4F"/>
    <w:rsid w:val="00C37C57"/>
    <w:rsid w:val="00C4683B"/>
    <w:rsid w:val="00C5693D"/>
    <w:rsid w:val="00C61EAC"/>
    <w:rsid w:val="00C83C6A"/>
    <w:rsid w:val="00CB0E6D"/>
    <w:rsid w:val="00CB40E6"/>
    <w:rsid w:val="00CB784A"/>
    <w:rsid w:val="00CC55C1"/>
    <w:rsid w:val="00CD0FD6"/>
    <w:rsid w:val="00CF0716"/>
    <w:rsid w:val="00CF5F79"/>
    <w:rsid w:val="00D164FC"/>
    <w:rsid w:val="00D348F0"/>
    <w:rsid w:val="00D512FF"/>
    <w:rsid w:val="00D67F06"/>
    <w:rsid w:val="00D70060"/>
    <w:rsid w:val="00D70809"/>
    <w:rsid w:val="00D73990"/>
    <w:rsid w:val="00D75063"/>
    <w:rsid w:val="00D778B7"/>
    <w:rsid w:val="00D957FB"/>
    <w:rsid w:val="00DA12F1"/>
    <w:rsid w:val="00DA6B39"/>
    <w:rsid w:val="00DB33AC"/>
    <w:rsid w:val="00DD17DD"/>
    <w:rsid w:val="00DD7782"/>
    <w:rsid w:val="00DE347C"/>
    <w:rsid w:val="00E063E5"/>
    <w:rsid w:val="00E1373A"/>
    <w:rsid w:val="00E278D4"/>
    <w:rsid w:val="00E40F32"/>
    <w:rsid w:val="00E4249B"/>
    <w:rsid w:val="00E6002A"/>
    <w:rsid w:val="00E615F4"/>
    <w:rsid w:val="00E66D0F"/>
    <w:rsid w:val="00E71504"/>
    <w:rsid w:val="00E91B63"/>
    <w:rsid w:val="00E93CB1"/>
    <w:rsid w:val="00EA349D"/>
    <w:rsid w:val="00EB4D33"/>
    <w:rsid w:val="00EB5EA0"/>
    <w:rsid w:val="00EC35B2"/>
    <w:rsid w:val="00ED2DBA"/>
    <w:rsid w:val="00EF08C3"/>
    <w:rsid w:val="00EF1F92"/>
    <w:rsid w:val="00F050EB"/>
    <w:rsid w:val="00F2029A"/>
    <w:rsid w:val="00F23166"/>
    <w:rsid w:val="00F332B1"/>
    <w:rsid w:val="00F336B5"/>
    <w:rsid w:val="00F336C4"/>
    <w:rsid w:val="00F35CAB"/>
    <w:rsid w:val="00F375CD"/>
    <w:rsid w:val="00F44E11"/>
    <w:rsid w:val="00F506D9"/>
    <w:rsid w:val="00F60CB8"/>
    <w:rsid w:val="00F63056"/>
    <w:rsid w:val="00F650DC"/>
    <w:rsid w:val="00F65570"/>
    <w:rsid w:val="00F909E4"/>
    <w:rsid w:val="00F93468"/>
    <w:rsid w:val="00FA7935"/>
    <w:rsid w:val="00FB3599"/>
    <w:rsid w:val="00FD607B"/>
    <w:rsid w:val="00FE02E9"/>
    <w:rsid w:val="00FE5329"/>
    <w:rsid w:val="00FE77CB"/>
    <w:rsid w:val="00FF1640"/>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it-IT"/>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Revision">
    <w:name w:val="Revision"/>
    <w:hidden/>
    <w:uiPriority w:val="99"/>
    <w:semiHidden/>
    <w:rsid w:val="00537DF2"/>
    <w:pPr>
      <w:spacing w:after="0" w:line="240" w:lineRule="auto"/>
    </w:pPr>
  </w:style>
  <w:style w:type="paragraph" w:customStyle="1" w:styleId="Standard1">
    <w:name w:val="Standard1"/>
    <w:rsid w:val="004F54A8"/>
    <w:pPr>
      <w:suppressAutoHyphens/>
      <w:autoSpaceDN w:val="0"/>
      <w:spacing w:after="0" w:line="240" w:lineRule="auto"/>
      <w:textAlignment w:val="baseline"/>
    </w:pPr>
    <w:rPr>
      <w:rFonts w:ascii="Verdana" w:eastAsia="Times New Roman" w:hAnsi="Verdana" w:cs="Times New Roman"/>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23257004">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7519</Characters>
  <Application>Microsoft Office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2022-08-22T06:59:00Z</dcterms:created>
  <dcterms:modified xsi:type="dcterms:W3CDTF">2022-10-21T08:22:00Z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c47f06147504f797ba2e49a397a61b6d0f28177d744cbe61179aca026dba13a0</vt:lpwstr>
  </property>
</Properties>
</file>