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3C6" w14:textId="56CD193A" w:rsidR="00C948CB" w:rsidRDefault="00183971">
      <w:pPr>
        <w:pStyle w:val="p1"/>
        <w:spacing w:line="360" w:lineRule="auto"/>
        <w:rPr>
          <w:b/>
        </w:rPr>
      </w:pPr>
      <w:r>
        <w:rPr>
          <w:b/>
          <w:noProof/>
        </w:rPr>
        <w:drawing>
          <wp:anchor distT="0" distB="0" distL="114300" distR="114300" simplePos="0" relativeHeight="251659264" behindDoc="0" locked="0" layoutInCell="1" allowOverlap="1" wp14:anchorId="50C39AEA" wp14:editId="154DB7BD">
            <wp:simplePos x="0" y="0"/>
            <wp:positionH relativeFrom="column">
              <wp:posOffset>4222799</wp:posOffset>
            </wp:positionH>
            <wp:positionV relativeFrom="page">
              <wp:posOffset>720</wp:posOffset>
            </wp:positionV>
            <wp:extent cx="2295360" cy="1252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60" cy="1252800"/>
                    </a:xfrm>
                    <a:prstGeom prst="rect">
                      <a:avLst/>
                    </a:prstGeom>
                    <a:noFill/>
                    <a:ln>
                      <a:noFill/>
                      <a:prstDash/>
                    </a:ln>
                  </pic:spPr>
                </pic:pic>
              </a:graphicData>
            </a:graphic>
          </wp:anchor>
        </w:drawing>
      </w:r>
    </w:p>
    <w:p w14:paraId="7B516670" w14:textId="77777777" w:rsidR="00C948CB" w:rsidRPr="00183971" w:rsidRDefault="00183971">
      <w:pPr>
        <w:pStyle w:val="p1"/>
        <w:spacing w:line="360" w:lineRule="auto"/>
      </w:pPr>
      <w:r>
        <w:rPr>
          <w:b/>
          <w:sz w:val="20"/>
        </w:rPr>
        <w:t>Profil gagnant des GFIA Awards</w:t>
      </w:r>
    </w:p>
    <w:p w14:paraId="7CD3C9C6" w14:textId="77777777" w:rsidR="00C948CB" w:rsidRPr="00D35379" w:rsidRDefault="00C948CB">
      <w:pPr>
        <w:pStyle w:val="Standard1"/>
        <w:spacing w:line="360" w:lineRule="auto"/>
        <w:rPr>
          <w:rFonts w:ascii="Arial" w:hAnsi="Arial" w:cs="Arial"/>
          <w:szCs w:val="20"/>
          <w:lang w:val="fr-BE"/>
        </w:rPr>
      </w:pPr>
    </w:p>
    <w:p w14:paraId="63F0B121" w14:textId="77777777" w:rsidR="00C948CB" w:rsidRPr="00D35379" w:rsidRDefault="00C948CB">
      <w:pPr>
        <w:pStyle w:val="Standard1"/>
        <w:rPr>
          <w:rFonts w:ascii="Arial" w:hAnsi="Arial" w:cs="Arial"/>
          <w:szCs w:val="20"/>
          <w:lang w:val="fr-BE"/>
        </w:rPr>
      </w:pPr>
    </w:p>
    <w:p w14:paraId="23C8371A" w14:textId="77777777" w:rsidR="00C948CB" w:rsidRPr="00183971" w:rsidRDefault="00183971">
      <w:pPr>
        <w:pStyle w:val="Standard1"/>
      </w:pPr>
      <w:r>
        <w:rPr>
          <w:rFonts w:ascii="Arial" w:hAnsi="Arial"/>
        </w:rPr>
        <w:t>Contact presse :</w:t>
      </w:r>
    </w:p>
    <w:p w14:paraId="733558EB" w14:textId="77777777" w:rsidR="00975150" w:rsidRDefault="00975150" w:rsidP="00975150">
      <w:pPr>
        <w:pStyle w:val="Standard"/>
        <w:rPr>
          <w:rFonts w:ascii="Arial" w:hAnsi="Arial" w:cs="Arial"/>
          <w:lang w:val="es-ES"/>
        </w:rPr>
      </w:pPr>
      <w:r>
        <w:rPr>
          <w:rFonts w:ascii="Arial" w:hAnsi="Arial" w:cs="Arial"/>
          <w:color w:val="000000"/>
          <w:lang w:val="es-ES"/>
        </w:rPr>
        <w:t xml:space="preserve">Elni Van Rensburg - +1 830 317 0950 – </w:t>
      </w:r>
      <w:hyperlink r:id="rId8" w:history="1">
        <w:r>
          <w:rPr>
            <w:rStyle w:val="Hyperlink"/>
            <w:rFonts w:ascii="Arial" w:hAnsi="Arial" w:cs="Arial"/>
            <w:lang w:val="es-ES"/>
          </w:rPr>
          <w:t>elni.vanrensburg@miraclon.com</w:t>
        </w:r>
      </w:hyperlink>
      <w:r>
        <w:rPr>
          <w:rFonts w:ascii="Arial" w:hAnsi="Arial" w:cs="Arial"/>
          <w:color w:val="000000"/>
          <w:lang w:val="es-ES"/>
        </w:rPr>
        <w:t xml:space="preserve">  </w:t>
      </w:r>
    </w:p>
    <w:p w14:paraId="60A126BB" w14:textId="77777777" w:rsidR="00975150" w:rsidRDefault="00975150" w:rsidP="00975150">
      <w:pPr>
        <w:pStyle w:val="Standard"/>
        <w:rPr>
          <w:rFonts w:ascii="Arial" w:hAnsi="Arial" w:cs="Arial"/>
          <w:color w:val="000000"/>
          <w:lang w:val="es-ES"/>
        </w:rPr>
      </w:pPr>
      <w:r>
        <w:rPr>
          <w:rFonts w:ascii="Arial" w:hAnsi="Arial" w:cs="Arial"/>
          <w:color w:val="000000"/>
          <w:lang w:val="es-ES"/>
        </w:rPr>
        <w:t xml:space="preserve">AD </w:t>
      </w:r>
      <w:proofErr w:type="spellStart"/>
      <w:r>
        <w:rPr>
          <w:rFonts w:ascii="Arial" w:hAnsi="Arial" w:cs="Arial"/>
          <w:color w:val="000000"/>
          <w:lang w:val="es-ES"/>
        </w:rPr>
        <w:t>Communications</w:t>
      </w:r>
      <w:proofErr w:type="spellEnd"/>
      <w:r>
        <w:rPr>
          <w:rFonts w:ascii="Arial" w:hAnsi="Arial" w:cs="Arial"/>
          <w:color w:val="000000"/>
          <w:lang w:val="es-ES"/>
        </w:rPr>
        <w:t xml:space="preserve">: Imogen Woods – +44 (0)1372 464 470 – </w:t>
      </w:r>
      <w:hyperlink r:id="rId9" w:history="1">
        <w:r>
          <w:rPr>
            <w:rStyle w:val="Hyperlink"/>
            <w:rFonts w:ascii="Arial" w:hAnsi="Arial" w:cs="Arial"/>
            <w:lang w:val="es-ES"/>
          </w:rPr>
          <w:t>iwoods@adcomms.co.uk</w:t>
        </w:r>
      </w:hyperlink>
    </w:p>
    <w:p w14:paraId="598FAB27" w14:textId="77777777" w:rsidR="00C948CB" w:rsidRPr="00975150" w:rsidRDefault="00C948CB">
      <w:pPr>
        <w:pStyle w:val="Standard1"/>
        <w:rPr>
          <w:rFonts w:ascii="Arial" w:hAnsi="Arial" w:cs="Arial"/>
          <w:color w:val="000000"/>
          <w:szCs w:val="20"/>
          <w:lang w:val="en-GB"/>
        </w:rPr>
      </w:pPr>
    </w:p>
    <w:p w14:paraId="77A5E9A8" w14:textId="0437C60F" w:rsidR="00C948CB" w:rsidRDefault="00975150">
      <w:pPr>
        <w:pStyle w:val="Standard"/>
      </w:pPr>
      <w:r>
        <w:rPr>
          <w:rFonts w:ascii="Arial" w:hAnsi="Arial"/>
        </w:rPr>
        <w:t>12</w:t>
      </w:r>
      <w:r w:rsidR="00253887">
        <w:rPr>
          <w:rFonts w:ascii="Arial" w:hAnsi="Arial"/>
        </w:rPr>
        <w:t> janvier 2023</w:t>
      </w:r>
    </w:p>
    <w:p w14:paraId="3301C0DA" w14:textId="77777777" w:rsidR="00C948CB" w:rsidRDefault="00183971">
      <w:pPr>
        <w:pStyle w:val="Standard"/>
        <w:spacing w:line="360" w:lineRule="auto"/>
        <w:jc w:val="center"/>
      </w:pPr>
      <w:r>
        <w:rPr>
          <w:rFonts w:ascii="Arial" w:hAnsi="Arial"/>
          <w:b/>
          <w:sz w:val="28"/>
        </w:rPr>
        <w:br/>
      </w:r>
      <w:r>
        <w:rPr>
          <w:rFonts w:ascii="Arial" w:hAnsi="Arial"/>
          <w:b/>
          <w:sz w:val="26"/>
        </w:rPr>
        <w:t xml:space="preserve">L’approche pionnière de </w:t>
      </w:r>
      <w:proofErr w:type="spellStart"/>
      <w:r>
        <w:rPr>
          <w:rFonts w:ascii="Arial" w:hAnsi="Arial"/>
          <w:b/>
          <w:sz w:val="26"/>
        </w:rPr>
        <w:t>Cromograf</w:t>
      </w:r>
      <w:proofErr w:type="spellEnd"/>
      <w:r>
        <w:rPr>
          <w:rFonts w:ascii="Arial" w:hAnsi="Arial"/>
          <w:b/>
          <w:sz w:val="26"/>
        </w:rPr>
        <w:t xml:space="preserve"> pour une production d’emballages durables récompensée par le premier prix des Global </w:t>
      </w:r>
      <w:proofErr w:type="spellStart"/>
      <w:r>
        <w:rPr>
          <w:rFonts w:ascii="Arial" w:hAnsi="Arial"/>
          <w:b/>
          <w:sz w:val="26"/>
        </w:rPr>
        <w:t>Flexo</w:t>
      </w:r>
      <w:proofErr w:type="spellEnd"/>
      <w:r>
        <w:rPr>
          <w:rFonts w:ascii="Arial" w:hAnsi="Arial"/>
          <w:b/>
          <w:sz w:val="26"/>
        </w:rPr>
        <w:t xml:space="preserve"> Innovation Awards</w:t>
      </w:r>
    </w:p>
    <w:p w14:paraId="6550378C" w14:textId="77777777" w:rsidR="00C948CB" w:rsidRDefault="00183971">
      <w:pPr>
        <w:pStyle w:val="Standard"/>
        <w:spacing w:line="360" w:lineRule="auto"/>
        <w:jc w:val="center"/>
      </w:pPr>
      <w:r>
        <w:rPr>
          <w:rFonts w:ascii="Arial" w:hAnsi="Arial"/>
          <w:b/>
          <w:i/>
          <w:sz w:val="22"/>
        </w:rPr>
        <w:t xml:space="preserve">Son parcours ECG s’appuyant sur le Kodak FLEXCEL NX System depuis 14 ans impose </w:t>
      </w:r>
      <w:proofErr w:type="spellStart"/>
      <w:r>
        <w:rPr>
          <w:rFonts w:ascii="Arial" w:hAnsi="Arial"/>
          <w:b/>
          <w:i/>
          <w:sz w:val="22"/>
        </w:rPr>
        <w:t>Cromograf</w:t>
      </w:r>
      <w:proofErr w:type="spellEnd"/>
      <w:r>
        <w:rPr>
          <w:rFonts w:ascii="Arial" w:hAnsi="Arial"/>
          <w:b/>
          <w:i/>
          <w:sz w:val="22"/>
        </w:rPr>
        <w:t xml:space="preserve"> en tant que leader technologique en Amérique latine</w:t>
      </w:r>
    </w:p>
    <w:p w14:paraId="516FD338" w14:textId="77777777" w:rsidR="00C948CB" w:rsidRDefault="00C948CB">
      <w:pPr>
        <w:pStyle w:val="Standard"/>
        <w:spacing w:line="360" w:lineRule="auto"/>
        <w:rPr>
          <w:rFonts w:ascii="Arial" w:hAnsi="Arial" w:cs="Arial"/>
          <w:sz w:val="22"/>
          <w:szCs w:val="22"/>
        </w:rPr>
      </w:pPr>
    </w:p>
    <w:p w14:paraId="4A06F19F" w14:textId="77777777" w:rsidR="00C948CB" w:rsidRDefault="00183971">
      <w:pPr>
        <w:pStyle w:val="Standard"/>
        <w:spacing w:line="360" w:lineRule="auto"/>
      </w:pPr>
      <w:r>
        <w:rPr>
          <w:rFonts w:ascii="Arial" w:hAnsi="Arial"/>
          <w:sz w:val="22"/>
        </w:rPr>
        <w:t xml:space="preserve">Au cours des quinze dernières années, l’entreprise uruguayenne de prépresse </w:t>
      </w:r>
      <w:proofErr w:type="spellStart"/>
      <w:r>
        <w:rPr>
          <w:rFonts w:ascii="Arial" w:hAnsi="Arial"/>
          <w:sz w:val="22"/>
        </w:rPr>
        <w:t>flexo</w:t>
      </w:r>
      <w:proofErr w:type="spellEnd"/>
      <w:r>
        <w:rPr>
          <w:rFonts w:ascii="Arial" w:hAnsi="Arial"/>
          <w:sz w:val="22"/>
        </w:rPr>
        <w:t xml:space="preserve"> pour emballages </w:t>
      </w:r>
      <w:proofErr w:type="spellStart"/>
      <w:r>
        <w:rPr>
          <w:rFonts w:ascii="Arial" w:hAnsi="Arial"/>
          <w:sz w:val="22"/>
        </w:rPr>
        <w:t>Cromograf</w:t>
      </w:r>
      <w:proofErr w:type="spellEnd"/>
      <w:r>
        <w:rPr>
          <w:rFonts w:ascii="Arial" w:hAnsi="Arial"/>
          <w:sz w:val="22"/>
        </w:rPr>
        <w:t xml:space="preserve"> a dépassé le cadre de son site de Montevideo pour devenir un modèle en Amérique latine. </w:t>
      </w:r>
      <w:proofErr w:type="spellStart"/>
      <w:r>
        <w:rPr>
          <w:rFonts w:ascii="Arial" w:hAnsi="Arial"/>
          <w:sz w:val="22"/>
        </w:rPr>
        <w:t>Alejandra</w:t>
      </w:r>
      <w:proofErr w:type="spellEnd"/>
      <w:r>
        <w:rPr>
          <w:rFonts w:ascii="Arial" w:hAnsi="Arial"/>
          <w:sz w:val="22"/>
        </w:rPr>
        <w:t xml:space="preserve"> Acosta </w:t>
      </w:r>
      <w:proofErr w:type="spellStart"/>
      <w:r>
        <w:rPr>
          <w:rFonts w:ascii="Arial" w:hAnsi="Arial"/>
          <w:sz w:val="22"/>
        </w:rPr>
        <w:t>Salati</w:t>
      </w:r>
      <w:proofErr w:type="spellEnd"/>
      <w:r>
        <w:rPr>
          <w:rFonts w:ascii="Arial" w:hAnsi="Arial"/>
          <w:sz w:val="22"/>
        </w:rPr>
        <w:t>, PDG de l’entreprise, attribue ce succès à ce qu’elle décrit comme « notre ADN passionné, qui nous pousse toujours à nous améliorer. En conséquence, nous sommes devenus une sorte de laboratoire d’innovation qui a entraîné des évolutions chez d’autres imprimeurs spécialisés. »</w:t>
      </w:r>
    </w:p>
    <w:p w14:paraId="07703848" w14:textId="77777777" w:rsidR="00C948CB" w:rsidRDefault="00C948CB">
      <w:pPr>
        <w:pStyle w:val="Standard"/>
        <w:spacing w:line="360" w:lineRule="auto"/>
        <w:rPr>
          <w:rFonts w:ascii="Arial" w:hAnsi="Arial" w:cs="Arial"/>
          <w:sz w:val="22"/>
          <w:szCs w:val="22"/>
        </w:rPr>
      </w:pPr>
    </w:p>
    <w:p w14:paraId="772BDBA0" w14:textId="77777777" w:rsidR="00C948CB" w:rsidRPr="00253887" w:rsidRDefault="00183971">
      <w:pPr>
        <w:pStyle w:val="Standard"/>
        <w:spacing w:line="360" w:lineRule="auto"/>
        <w:rPr>
          <w:color w:val="000000" w:themeColor="text1"/>
        </w:rPr>
      </w:pPr>
      <w:r>
        <w:rPr>
          <w:rFonts w:ascii="Arial" w:hAnsi="Arial"/>
          <w:sz w:val="22"/>
        </w:rPr>
        <w:t xml:space="preserve">L’adoption par </w:t>
      </w:r>
      <w:proofErr w:type="spellStart"/>
      <w:r>
        <w:rPr>
          <w:rFonts w:ascii="Arial" w:hAnsi="Arial"/>
          <w:sz w:val="22"/>
        </w:rPr>
        <w:t>Cromograf</w:t>
      </w:r>
      <w:proofErr w:type="spellEnd"/>
      <w:r>
        <w:rPr>
          <w:rFonts w:ascii="Arial" w:hAnsi="Arial"/>
          <w:sz w:val="22"/>
        </w:rPr>
        <w:t xml:space="preserve"> d’une production durable est un bon exemple de l’esprit pionnier de l’entreprise. Si l’utilisation réfléchie et planifiée des ressources est aujourd’hui incontournable pour tous les acteurs de la chaîne d’approvisionnement en emballages, </w:t>
      </w:r>
      <w:proofErr w:type="spellStart"/>
      <w:r>
        <w:rPr>
          <w:rFonts w:ascii="Arial" w:hAnsi="Arial"/>
          <w:sz w:val="22"/>
        </w:rPr>
        <w:t>Cromograf</w:t>
      </w:r>
      <w:proofErr w:type="spellEnd"/>
      <w:r>
        <w:rPr>
          <w:rFonts w:ascii="Arial" w:hAnsi="Arial"/>
          <w:sz w:val="22"/>
        </w:rPr>
        <w:t xml:space="preserve"> a pris ce chemin dès 2008.</w:t>
      </w:r>
      <w:r>
        <w:rPr>
          <w:rFonts w:ascii="Arial" w:hAnsi="Arial"/>
          <w:color w:val="000000" w:themeColor="text1"/>
          <w:sz w:val="22"/>
        </w:rPr>
        <w:t xml:space="preserve"> Et Mme Acosta </w:t>
      </w:r>
      <w:proofErr w:type="spellStart"/>
      <w:r>
        <w:rPr>
          <w:rFonts w:ascii="Arial" w:hAnsi="Arial"/>
          <w:color w:val="000000" w:themeColor="text1"/>
          <w:sz w:val="22"/>
        </w:rPr>
        <w:t>Salati</w:t>
      </w:r>
      <w:proofErr w:type="spellEnd"/>
      <w:r>
        <w:rPr>
          <w:rFonts w:ascii="Arial" w:hAnsi="Arial"/>
          <w:color w:val="000000" w:themeColor="text1"/>
          <w:sz w:val="22"/>
        </w:rPr>
        <w:t xml:space="preserve"> peut presque en préciser la date exacte : « dans un sens, tout a commencé le jour où mon père, Miguel Angel Acosta, a découvert le FLEXCEL NX System. Il a immédiatement détecté le potentiel d’une technologie qui élimine les variables et confère une régularité inégalée au processus de flexographie.</w:t>
      </w:r>
    </w:p>
    <w:p w14:paraId="68956F2D" w14:textId="77777777" w:rsidR="00C948CB" w:rsidRPr="00253887" w:rsidRDefault="00C948CB">
      <w:pPr>
        <w:pStyle w:val="Standard"/>
        <w:spacing w:line="360" w:lineRule="auto"/>
        <w:rPr>
          <w:rFonts w:ascii="Arial" w:hAnsi="Arial" w:cs="Arial"/>
          <w:color w:val="000000" w:themeColor="text1"/>
          <w:sz w:val="22"/>
          <w:szCs w:val="22"/>
        </w:rPr>
      </w:pPr>
    </w:p>
    <w:p w14:paraId="47D6FA79" w14:textId="53E13623" w:rsidR="00C948CB" w:rsidRDefault="00183971">
      <w:pPr>
        <w:pStyle w:val="Standard"/>
        <w:spacing w:line="360" w:lineRule="auto"/>
      </w:pPr>
      <w:r>
        <w:rPr>
          <w:rFonts w:ascii="Arial" w:hAnsi="Arial"/>
          <w:sz w:val="22"/>
        </w:rPr>
        <w:t>« Nous croyons en la rationalisation et la normalisation maximales des processus, et le FLEXCEL NX System nous a fourni la meilleure plateforme pour une production normalisée et reproductible. C’était le cas à l’époque, et ça reste valable aujourd’hui. »</w:t>
      </w:r>
    </w:p>
    <w:p w14:paraId="1D53C7BB" w14:textId="77777777" w:rsidR="00C948CB" w:rsidRDefault="00C948CB">
      <w:pPr>
        <w:pStyle w:val="Standard"/>
        <w:spacing w:line="360" w:lineRule="auto"/>
        <w:rPr>
          <w:rFonts w:ascii="Arial" w:hAnsi="Arial" w:cs="Arial"/>
          <w:sz w:val="22"/>
          <w:szCs w:val="22"/>
        </w:rPr>
      </w:pPr>
    </w:p>
    <w:p w14:paraId="32220742" w14:textId="77777777" w:rsidR="00C948CB" w:rsidRDefault="00183971">
      <w:pPr>
        <w:pStyle w:val="Standard"/>
        <w:spacing w:line="360" w:lineRule="auto"/>
      </w:pPr>
      <w:r>
        <w:rPr>
          <w:rFonts w:ascii="Arial" w:hAnsi="Arial"/>
          <w:b/>
          <w:sz w:val="22"/>
        </w:rPr>
        <w:t>Un leader technologique de l’ECG</w:t>
      </w:r>
    </w:p>
    <w:p w14:paraId="5E7D3CE7" w14:textId="77777777" w:rsidR="00C948CB" w:rsidRDefault="00183971">
      <w:pPr>
        <w:pStyle w:val="Standard"/>
        <w:spacing w:line="360" w:lineRule="auto"/>
      </w:pPr>
      <w:proofErr w:type="spellStart"/>
      <w:r>
        <w:rPr>
          <w:rFonts w:ascii="Arial" w:hAnsi="Arial"/>
          <w:sz w:val="22"/>
        </w:rPr>
        <w:lastRenderedPageBreak/>
        <w:t>Cromograf</w:t>
      </w:r>
      <w:proofErr w:type="spellEnd"/>
      <w:r>
        <w:rPr>
          <w:rFonts w:ascii="Arial" w:hAnsi="Arial"/>
          <w:sz w:val="22"/>
        </w:rPr>
        <w:t xml:space="preserve"> a installé le premier FLEXCEL NX </w:t>
      </w:r>
      <w:proofErr w:type="spellStart"/>
      <w:r>
        <w:rPr>
          <w:rFonts w:ascii="Arial" w:hAnsi="Arial"/>
          <w:sz w:val="22"/>
        </w:rPr>
        <w:t>Mid</w:t>
      </w:r>
      <w:proofErr w:type="spellEnd"/>
      <w:r>
        <w:rPr>
          <w:rFonts w:ascii="Arial" w:hAnsi="Arial"/>
          <w:sz w:val="22"/>
        </w:rPr>
        <w:t xml:space="preserve"> System d’Amérique latine en 2008, et a commencé après quelques mois à tester l’impression à gamme chromatique étendue (ECG) ; un processus dans lequel, 14 ans plus tard, </w:t>
      </w:r>
      <w:proofErr w:type="spellStart"/>
      <w:r>
        <w:rPr>
          <w:rFonts w:ascii="Arial" w:hAnsi="Arial"/>
          <w:sz w:val="22"/>
        </w:rPr>
        <w:t>Cromograf</w:t>
      </w:r>
      <w:proofErr w:type="spellEnd"/>
      <w:r>
        <w:rPr>
          <w:rFonts w:ascii="Arial" w:hAnsi="Arial"/>
          <w:sz w:val="22"/>
        </w:rPr>
        <w:t xml:space="preserve"> est reconnu comme le leader technologique en Amérique latine et au-delà.</w:t>
      </w:r>
    </w:p>
    <w:p w14:paraId="0596402A" w14:textId="77777777" w:rsidR="00C948CB" w:rsidRDefault="00C948CB">
      <w:pPr>
        <w:pStyle w:val="Standard"/>
        <w:spacing w:line="360" w:lineRule="auto"/>
        <w:rPr>
          <w:rFonts w:ascii="Arial" w:hAnsi="Arial" w:cs="Arial"/>
          <w:sz w:val="22"/>
          <w:szCs w:val="22"/>
        </w:rPr>
      </w:pPr>
    </w:p>
    <w:p w14:paraId="7028415A" w14:textId="77777777" w:rsidR="00C948CB" w:rsidRDefault="00183971">
      <w:pPr>
        <w:pStyle w:val="Standard"/>
        <w:spacing w:line="360" w:lineRule="auto"/>
      </w:pPr>
      <w:r>
        <w:rPr>
          <w:rFonts w:ascii="Arial" w:hAnsi="Arial"/>
          <w:sz w:val="22"/>
        </w:rPr>
        <w:t xml:space="preserve">L’ECG est le socle de la politique de durabilité de </w:t>
      </w:r>
      <w:proofErr w:type="spellStart"/>
      <w:r>
        <w:rPr>
          <w:rFonts w:ascii="Arial" w:hAnsi="Arial"/>
          <w:sz w:val="22"/>
        </w:rPr>
        <w:t>Cromograf</w:t>
      </w:r>
      <w:proofErr w:type="spellEnd"/>
      <w:r>
        <w:rPr>
          <w:rFonts w:ascii="Arial" w:hAnsi="Arial"/>
          <w:sz w:val="22"/>
        </w:rPr>
        <w:t xml:space="preserve">, explique Mme Acosta </w:t>
      </w:r>
      <w:proofErr w:type="spellStart"/>
      <w:r>
        <w:rPr>
          <w:rFonts w:ascii="Arial" w:hAnsi="Arial"/>
          <w:sz w:val="22"/>
        </w:rPr>
        <w:t>Salati</w:t>
      </w:r>
      <w:proofErr w:type="spellEnd"/>
      <w:r>
        <w:rPr>
          <w:rFonts w:ascii="Arial" w:hAnsi="Arial"/>
          <w:sz w:val="22"/>
        </w:rPr>
        <w:t>, en raison des économies et des gains d’efficacité inhérents au principe qui consiste à imprimer autant que possible avec un jeu d’encres CMJN fixe. « L’ECG utilise moins de plaques, moins d’encres spéciales, et réduit le gaspillage des supports lors de la préparation des travaux. De plus, et ce point est essentiel pour les donneurs d’ordres, le jeu d’encre standard nous permet d’imprimer plusieurs travaux simultanément. Il est ainsi plus facile de respecter les quantités minimales des transformateurs, même en commandant de plus petits volumes, ce qui favorise le test marketing de nouvelles idées d’emballage. »</w:t>
      </w:r>
    </w:p>
    <w:p w14:paraId="53601F71" w14:textId="77777777" w:rsidR="00C948CB" w:rsidRDefault="00C948CB">
      <w:pPr>
        <w:pStyle w:val="Standard"/>
        <w:spacing w:line="360" w:lineRule="auto"/>
        <w:rPr>
          <w:rFonts w:ascii="Arial" w:hAnsi="Arial" w:cs="Arial"/>
          <w:sz w:val="22"/>
          <w:szCs w:val="22"/>
        </w:rPr>
      </w:pPr>
    </w:p>
    <w:p w14:paraId="29A314BC" w14:textId="057A044A" w:rsidR="00C948CB" w:rsidRDefault="00183971">
      <w:pPr>
        <w:pStyle w:val="Standard"/>
        <w:spacing w:line="360" w:lineRule="auto"/>
      </w:pPr>
      <w:r>
        <w:rPr>
          <w:rFonts w:ascii="Arial" w:hAnsi="Arial"/>
          <w:sz w:val="22"/>
        </w:rPr>
        <w:t xml:space="preserve">Rien de cela, souligne Mme Acosta </w:t>
      </w:r>
      <w:proofErr w:type="spellStart"/>
      <w:r>
        <w:rPr>
          <w:rFonts w:ascii="Arial" w:hAnsi="Arial"/>
          <w:sz w:val="22"/>
        </w:rPr>
        <w:t>Salati</w:t>
      </w:r>
      <w:proofErr w:type="spellEnd"/>
      <w:r>
        <w:rPr>
          <w:rFonts w:ascii="Arial" w:hAnsi="Arial"/>
          <w:sz w:val="22"/>
        </w:rPr>
        <w:t>, ne serait possible sans la technologie FLEXCEL NX. « Tout le concept de l’ECG repose sur la suppression des variables qui peuvent avoir un impact sur la productivité et réduire la durabilité. La technologie FLEXCEL NX permet une production standardisée pour obtenir des résultats prévisibles et réguliers. Il s’agit d’une technologie de plaque exceptionnelle qui offre une productivité élevée et une stabilité du processus. La reproduction des points reste stable impression après impression, ce qui nous assure une régularité, une plus longue durée de vie des plaques et moins d’arrêts imprévus de la presse pour le nettoyage. »</w:t>
      </w:r>
    </w:p>
    <w:p w14:paraId="705F2C3D" w14:textId="77777777" w:rsidR="00C948CB" w:rsidRDefault="00C948CB">
      <w:pPr>
        <w:pStyle w:val="Standard"/>
        <w:spacing w:line="360" w:lineRule="auto"/>
        <w:rPr>
          <w:rFonts w:ascii="Arial" w:hAnsi="Arial" w:cs="Arial"/>
          <w:sz w:val="22"/>
          <w:szCs w:val="22"/>
        </w:rPr>
      </w:pPr>
    </w:p>
    <w:p w14:paraId="0E3105FE" w14:textId="77777777" w:rsidR="00C948CB" w:rsidRDefault="00183971">
      <w:pPr>
        <w:pStyle w:val="Standard"/>
        <w:spacing w:line="360" w:lineRule="auto"/>
      </w:pPr>
      <w:r>
        <w:rPr>
          <w:rFonts w:ascii="Arial" w:hAnsi="Arial"/>
          <w:b/>
          <w:sz w:val="22"/>
        </w:rPr>
        <w:t>La reconnaissance du premier prix</w:t>
      </w:r>
    </w:p>
    <w:p w14:paraId="09BF8F0F" w14:textId="77777777" w:rsidR="00C948CB" w:rsidRDefault="00183971">
      <w:pPr>
        <w:pStyle w:val="Standard"/>
        <w:spacing w:line="360" w:lineRule="auto"/>
      </w:pPr>
      <w:r>
        <w:rPr>
          <w:rFonts w:ascii="Arial" w:hAnsi="Arial"/>
          <w:sz w:val="22"/>
        </w:rPr>
        <w:t xml:space="preserve">Les réalisations de l’entreprise sont aujourd’hui récompensées par le premier prix aux Global </w:t>
      </w:r>
      <w:proofErr w:type="spellStart"/>
      <w:r>
        <w:rPr>
          <w:rFonts w:ascii="Arial" w:hAnsi="Arial"/>
          <w:sz w:val="22"/>
        </w:rPr>
        <w:t>Flexo</w:t>
      </w:r>
      <w:proofErr w:type="spellEnd"/>
      <w:r>
        <w:rPr>
          <w:rFonts w:ascii="Arial" w:hAnsi="Arial"/>
          <w:sz w:val="22"/>
        </w:rPr>
        <w:t xml:space="preserve"> Innovation Awards (GFIA) sponsorisés par Miraclon, décerné pour son excellence dans l’efficacité du flux de production d’impression, l’engagement envers la durabilité et l’utilisation d’une conception créative.</w:t>
      </w:r>
    </w:p>
    <w:p w14:paraId="14DFE541" w14:textId="77777777" w:rsidR="00C948CB" w:rsidRDefault="00C948CB">
      <w:pPr>
        <w:pStyle w:val="Standard"/>
        <w:spacing w:line="360" w:lineRule="auto"/>
        <w:rPr>
          <w:rFonts w:ascii="Arial" w:hAnsi="Arial" w:cs="Arial"/>
          <w:sz w:val="22"/>
          <w:szCs w:val="22"/>
        </w:rPr>
      </w:pPr>
    </w:p>
    <w:p w14:paraId="6C6AA7EE" w14:textId="77777777" w:rsidR="00C948CB" w:rsidRDefault="00183971">
      <w:pPr>
        <w:pStyle w:val="Standard"/>
        <w:spacing w:line="360" w:lineRule="auto"/>
      </w:pPr>
      <w:r>
        <w:rPr>
          <w:rFonts w:ascii="Arial" w:hAnsi="Arial"/>
          <w:sz w:val="22"/>
        </w:rPr>
        <w:t xml:space="preserve">Pour Mme Acosta </w:t>
      </w:r>
      <w:proofErr w:type="spellStart"/>
      <w:r>
        <w:rPr>
          <w:rFonts w:ascii="Arial" w:hAnsi="Arial"/>
          <w:sz w:val="22"/>
        </w:rPr>
        <w:t>Salati</w:t>
      </w:r>
      <w:proofErr w:type="spellEnd"/>
      <w:r>
        <w:rPr>
          <w:rFonts w:ascii="Arial" w:hAnsi="Arial"/>
          <w:sz w:val="22"/>
        </w:rPr>
        <w:t xml:space="preserve">, le prix Global </w:t>
      </w:r>
      <w:proofErr w:type="spellStart"/>
      <w:r>
        <w:rPr>
          <w:rFonts w:ascii="Arial" w:hAnsi="Arial"/>
          <w:sz w:val="22"/>
        </w:rPr>
        <w:t>Flexo</w:t>
      </w:r>
      <w:proofErr w:type="spellEnd"/>
      <w:r>
        <w:rPr>
          <w:rFonts w:ascii="Arial" w:hAnsi="Arial"/>
          <w:sz w:val="22"/>
        </w:rPr>
        <w:t xml:space="preserve"> Innovation </w:t>
      </w:r>
      <w:proofErr w:type="spellStart"/>
      <w:r>
        <w:rPr>
          <w:rFonts w:ascii="Arial" w:hAnsi="Arial"/>
          <w:sz w:val="22"/>
        </w:rPr>
        <w:t>Award</w:t>
      </w:r>
      <w:proofErr w:type="spellEnd"/>
      <w:r>
        <w:rPr>
          <w:rFonts w:ascii="Arial" w:hAnsi="Arial"/>
          <w:sz w:val="22"/>
        </w:rPr>
        <w:t xml:space="preserve"> est une reconnaissance bienvenue de la stratégie lancée par son père et poursuivie sous sa direction. « Nous imprimons avec la palette d’encres CMJN et l’ECG depuis 2008, et nous sommes fiers de la qualité de notre production. La différence aujourd’hui tient à la prise de conscience du public. »</w:t>
      </w:r>
    </w:p>
    <w:p w14:paraId="52B953F0" w14:textId="77777777" w:rsidR="00C948CB" w:rsidRDefault="00C948CB">
      <w:pPr>
        <w:pStyle w:val="Standard"/>
        <w:spacing w:line="360" w:lineRule="auto"/>
        <w:rPr>
          <w:rFonts w:ascii="Arial" w:hAnsi="Arial" w:cs="Arial"/>
          <w:sz w:val="22"/>
          <w:szCs w:val="22"/>
        </w:rPr>
      </w:pPr>
    </w:p>
    <w:p w14:paraId="2AD60F68" w14:textId="77777777" w:rsidR="00C948CB" w:rsidRDefault="00183971">
      <w:pPr>
        <w:pStyle w:val="Standard"/>
        <w:spacing w:line="360" w:lineRule="auto"/>
      </w:pPr>
      <w:r>
        <w:rPr>
          <w:rFonts w:ascii="Arial" w:hAnsi="Arial"/>
          <w:sz w:val="22"/>
        </w:rPr>
        <w:lastRenderedPageBreak/>
        <w:t xml:space="preserve">En collaboration avec un transformateur partenaire depuis plus de 30 ans, Strong SA, </w:t>
      </w:r>
      <w:proofErr w:type="spellStart"/>
      <w:r>
        <w:rPr>
          <w:rFonts w:ascii="Arial" w:hAnsi="Arial"/>
          <w:sz w:val="22"/>
        </w:rPr>
        <w:t>Cromograf</w:t>
      </w:r>
      <w:proofErr w:type="spellEnd"/>
      <w:r>
        <w:rPr>
          <w:rFonts w:ascii="Arial" w:hAnsi="Arial"/>
          <w:sz w:val="22"/>
        </w:rPr>
        <w:t xml:space="preserve"> a présenté une série de travaux d’emballage dont le niveau de détail a impressionné le jury en démontrant clairement les économies et les avantages offerts par l’ECG. Par exemple, le projet gagnant, un emballage flexible pour une gamme de riz aromatisé, a permis des économies remarquables en utilisant l’ECG au lieu du processus de production précédent :</w:t>
      </w:r>
    </w:p>
    <w:p w14:paraId="7119CDDD" w14:textId="77777777" w:rsidR="00C948CB" w:rsidRDefault="00183971">
      <w:pPr>
        <w:pStyle w:val="ListParagraph"/>
        <w:numPr>
          <w:ilvl w:val="0"/>
          <w:numId w:val="29"/>
        </w:numPr>
        <w:spacing w:line="360" w:lineRule="auto"/>
      </w:pPr>
      <w:r>
        <w:rPr>
          <w:rFonts w:ascii="Arial" w:hAnsi="Arial"/>
          <w:sz w:val="22"/>
        </w:rPr>
        <w:t>0 encre spéciale (contre 15 en utilisant CMJN + encres spéciales)</w:t>
      </w:r>
    </w:p>
    <w:p w14:paraId="05FB8343" w14:textId="77777777" w:rsidR="00C948CB" w:rsidRDefault="00183971">
      <w:pPr>
        <w:pStyle w:val="ListParagraph"/>
        <w:numPr>
          <w:ilvl w:val="0"/>
          <w:numId w:val="28"/>
        </w:numPr>
        <w:spacing w:line="360" w:lineRule="auto"/>
      </w:pPr>
      <w:r>
        <w:rPr>
          <w:rFonts w:ascii="Arial" w:hAnsi="Arial"/>
          <w:sz w:val="22"/>
        </w:rPr>
        <w:t>28 plaques (contre 49)</w:t>
      </w:r>
    </w:p>
    <w:p w14:paraId="1CE74B14" w14:textId="77777777" w:rsidR="00C948CB" w:rsidRDefault="00183971">
      <w:pPr>
        <w:pStyle w:val="ListParagraph"/>
        <w:numPr>
          <w:ilvl w:val="0"/>
          <w:numId w:val="28"/>
        </w:numPr>
        <w:spacing w:line="360" w:lineRule="auto"/>
      </w:pPr>
      <w:r>
        <w:rPr>
          <w:rFonts w:ascii="Arial" w:hAnsi="Arial"/>
          <w:sz w:val="22"/>
        </w:rPr>
        <w:t>28 adhésifs de fixation (contre 49)</w:t>
      </w:r>
    </w:p>
    <w:p w14:paraId="7037F868" w14:textId="77777777" w:rsidR="00C948CB" w:rsidRDefault="00183971">
      <w:pPr>
        <w:pStyle w:val="ListParagraph"/>
        <w:numPr>
          <w:ilvl w:val="0"/>
          <w:numId w:val="28"/>
        </w:numPr>
        <w:spacing w:line="360" w:lineRule="auto"/>
      </w:pPr>
      <w:r>
        <w:rPr>
          <w:rFonts w:ascii="Arial" w:hAnsi="Arial"/>
          <w:sz w:val="22"/>
        </w:rPr>
        <w:t>28 lavages (contre 49)</w:t>
      </w:r>
    </w:p>
    <w:p w14:paraId="2E41AC30" w14:textId="77777777" w:rsidR="00C948CB" w:rsidRDefault="00C948CB">
      <w:pPr>
        <w:pStyle w:val="Standard"/>
        <w:spacing w:line="360" w:lineRule="auto"/>
        <w:rPr>
          <w:rFonts w:ascii="Arial" w:hAnsi="Arial" w:cs="Arial"/>
          <w:sz w:val="22"/>
          <w:szCs w:val="22"/>
        </w:rPr>
      </w:pPr>
    </w:p>
    <w:p w14:paraId="28777166" w14:textId="77777777" w:rsidR="00C948CB" w:rsidRDefault="00183971">
      <w:pPr>
        <w:pStyle w:val="Standard"/>
        <w:spacing w:line="360" w:lineRule="auto"/>
      </w:pPr>
      <w:r>
        <w:rPr>
          <w:rFonts w:ascii="Arial" w:hAnsi="Arial"/>
          <w:sz w:val="22"/>
        </w:rPr>
        <w:t xml:space="preserve">Des niveaux d’économie similaires ont été réalisés sur chacune des participations de </w:t>
      </w:r>
      <w:proofErr w:type="spellStart"/>
      <w:r>
        <w:rPr>
          <w:rFonts w:ascii="Arial" w:hAnsi="Arial"/>
          <w:sz w:val="22"/>
        </w:rPr>
        <w:t>Cromograf</w:t>
      </w:r>
      <w:proofErr w:type="spellEnd"/>
      <w:r>
        <w:rPr>
          <w:rFonts w:ascii="Arial" w:hAnsi="Arial"/>
          <w:sz w:val="22"/>
        </w:rPr>
        <w:t xml:space="preserve">, y compris un travail pour lequel </w:t>
      </w:r>
      <w:proofErr w:type="spellStart"/>
      <w:r>
        <w:rPr>
          <w:rFonts w:ascii="Arial" w:hAnsi="Arial"/>
          <w:sz w:val="22"/>
        </w:rPr>
        <w:t>Cromograf</w:t>
      </w:r>
      <w:proofErr w:type="spellEnd"/>
      <w:r>
        <w:rPr>
          <w:rFonts w:ascii="Arial" w:hAnsi="Arial"/>
          <w:sz w:val="22"/>
        </w:rPr>
        <w:t xml:space="preserve"> a économisé 10,8 kg d’encre rouge. En ajoutant la réduction des adhésifs de fixation et des solvants de nettoyage, la diminution du temps de préparation des travaux et le gain d’espace de stockage des encres et des plaques, les économies s’accumulent rapidement.</w:t>
      </w:r>
    </w:p>
    <w:p w14:paraId="0946263B" w14:textId="77777777" w:rsidR="00C948CB" w:rsidRDefault="00C948CB">
      <w:pPr>
        <w:pStyle w:val="Standard"/>
        <w:spacing w:line="360" w:lineRule="auto"/>
        <w:rPr>
          <w:rFonts w:ascii="Arial" w:hAnsi="Arial" w:cs="Arial"/>
          <w:sz w:val="22"/>
          <w:szCs w:val="22"/>
        </w:rPr>
      </w:pPr>
    </w:p>
    <w:p w14:paraId="6335668B" w14:textId="77777777" w:rsidR="00C948CB" w:rsidRDefault="00183971">
      <w:pPr>
        <w:pStyle w:val="Standard"/>
        <w:spacing w:line="360" w:lineRule="auto"/>
      </w:pPr>
      <w:r>
        <w:rPr>
          <w:rFonts w:ascii="Arial" w:hAnsi="Arial"/>
          <w:b/>
          <w:sz w:val="22"/>
        </w:rPr>
        <w:t>L’approche des nouveaux projets impressionne les jurés</w:t>
      </w:r>
    </w:p>
    <w:p w14:paraId="12ABDCC8" w14:textId="77777777" w:rsidR="00C948CB" w:rsidRDefault="00183971">
      <w:pPr>
        <w:pStyle w:val="Standard"/>
        <w:spacing w:line="360" w:lineRule="auto"/>
      </w:pPr>
      <w:r>
        <w:rPr>
          <w:rFonts w:ascii="Arial" w:hAnsi="Arial"/>
          <w:sz w:val="22"/>
        </w:rPr>
        <w:t xml:space="preserve">Les jurés des prix GFIA ont également été impressionnés par la façon dont </w:t>
      </w:r>
      <w:proofErr w:type="spellStart"/>
      <w:r>
        <w:rPr>
          <w:rFonts w:ascii="Arial" w:hAnsi="Arial"/>
          <w:sz w:val="22"/>
        </w:rPr>
        <w:t>Cromograf</w:t>
      </w:r>
      <w:proofErr w:type="spellEnd"/>
      <w:r>
        <w:rPr>
          <w:rFonts w:ascii="Arial" w:hAnsi="Arial"/>
          <w:sz w:val="22"/>
        </w:rPr>
        <w:t xml:space="preserve"> aborde chaque nouveau projet d’emballage afin de choisir la meilleure façon d’appliquer l’ECG. Le Dr Chip Tonkin, du </w:t>
      </w:r>
      <w:proofErr w:type="spellStart"/>
      <w:r>
        <w:rPr>
          <w:rFonts w:ascii="Arial" w:hAnsi="Arial"/>
          <w:sz w:val="22"/>
        </w:rPr>
        <w:t>Sonoco</w:t>
      </w:r>
      <w:proofErr w:type="spellEnd"/>
      <w:r>
        <w:rPr>
          <w:rFonts w:ascii="Arial" w:hAnsi="Arial"/>
          <w:sz w:val="22"/>
        </w:rPr>
        <w:t xml:space="preserve"> Institute of Packaging Design &amp; Graphics, a observé : « ils procèdent à une analyse approfondie des travaux entrants pour déterminer s’ils requièrent plus qu’un système CMJN, tout en prenant des mesures extrêmes pour exécuter la grande majorité des travaux en CMJN. Vous pouvez obtenir la plupart des couleurs en CMJN, surtout si vous optimisez votre palette. »</w:t>
      </w:r>
    </w:p>
    <w:p w14:paraId="6641A8EA" w14:textId="77777777" w:rsidR="00C948CB" w:rsidRDefault="00C948CB">
      <w:pPr>
        <w:pStyle w:val="Standard"/>
        <w:spacing w:line="360" w:lineRule="auto"/>
        <w:rPr>
          <w:rFonts w:ascii="Arial" w:hAnsi="Arial" w:cs="Arial"/>
          <w:sz w:val="22"/>
          <w:szCs w:val="22"/>
        </w:rPr>
      </w:pPr>
    </w:p>
    <w:p w14:paraId="7FFA050D" w14:textId="77777777" w:rsidR="00C948CB" w:rsidRDefault="00183971">
      <w:pPr>
        <w:pStyle w:val="Standard"/>
        <w:spacing w:line="360" w:lineRule="auto"/>
      </w:pPr>
      <w:r>
        <w:rPr>
          <w:rFonts w:ascii="Arial" w:hAnsi="Arial"/>
          <w:sz w:val="22"/>
        </w:rPr>
        <w:t xml:space="preserve">Mme Acosta </w:t>
      </w:r>
      <w:proofErr w:type="spellStart"/>
      <w:r>
        <w:rPr>
          <w:rFonts w:ascii="Arial" w:hAnsi="Arial"/>
          <w:sz w:val="22"/>
        </w:rPr>
        <w:t>Salati</w:t>
      </w:r>
      <w:proofErr w:type="spellEnd"/>
      <w:r>
        <w:rPr>
          <w:rFonts w:ascii="Arial" w:hAnsi="Arial"/>
          <w:sz w:val="22"/>
        </w:rPr>
        <w:t xml:space="preserve"> ajoute : « la chaîne de valeur de l’emballage commence par une idée et se termine lorsque l’emballage se trouve entre les mains du consommateur. Nous évaluons continuellement l’utilisation de chaque ressource en contrôlant le processus à chaque étape, dans le but de produire un résultat stable avec une empreinte carbone minimale. »</w:t>
      </w:r>
    </w:p>
    <w:p w14:paraId="35A0C114" w14:textId="77777777" w:rsidR="00C948CB" w:rsidRDefault="00C948CB">
      <w:pPr>
        <w:pStyle w:val="Standard"/>
        <w:spacing w:line="360" w:lineRule="auto"/>
        <w:rPr>
          <w:rFonts w:ascii="Arial" w:hAnsi="Arial" w:cs="Arial"/>
          <w:sz w:val="22"/>
          <w:szCs w:val="22"/>
        </w:rPr>
      </w:pPr>
    </w:p>
    <w:p w14:paraId="731BF1C2" w14:textId="77777777" w:rsidR="00C948CB" w:rsidRDefault="00183971">
      <w:pPr>
        <w:pStyle w:val="Standard"/>
        <w:spacing w:line="360" w:lineRule="auto"/>
      </w:pPr>
      <w:bookmarkStart w:id="0" w:name="_Hlk116631379"/>
      <w:r>
        <w:rPr>
          <w:rFonts w:ascii="Arial" w:hAnsi="Arial"/>
          <w:sz w:val="22"/>
        </w:rPr>
        <w:t xml:space="preserve">L’analyse commence par une discussion initiale avec l’équipe de conception, et la solide expérience de </w:t>
      </w:r>
      <w:proofErr w:type="spellStart"/>
      <w:r>
        <w:rPr>
          <w:rFonts w:ascii="Arial" w:hAnsi="Arial"/>
          <w:sz w:val="22"/>
        </w:rPr>
        <w:t>Cromograf</w:t>
      </w:r>
      <w:proofErr w:type="spellEnd"/>
      <w:r>
        <w:rPr>
          <w:rFonts w:ascii="Arial" w:hAnsi="Arial"/>
          <w:sz w:val="22"/>
        </w:rPr>
        <w:t xml:space="preserve"> est immédiatement mise à contribution. Mme Acosta </w:t>
      </w:r>
      <w:proofErr w:type="spellStart"/>
      <w:r>
        <w:rPr>
          <w:rFonts w:ascii="Arial" w:hAnsi="Arial"/>
          <w:sz w:val="22"/>
        </w:rPr>
        <w:t>Salati</w:t>
      </w:r>
      <w:proofErr w:type="spellEnd"/>
      <w:r>
        <w:rPr>
          <w:rFonts w:ascii="Arial" w:hAnsi="Arial"/>
          <w:sz w:val="22"/>
        </w:rPr>
        <w:t xml:space="preserve"> explique : « la façon dont nous gérons la couleur, les supports et les encres nous permet de déterminer immédiatement les couleurs qui fonctionnent le mieux avec l’ECG et de conseiller </w:t>
      </w:r>
      <w:r>
        <w:rPr>
          <w:rFonts w:ascii="Arial" w:hAnsi="Arial"/>
          <w:sz w:val="22"/>
        </w:rPr>
        <w:lastRenderedPageBreak/>
        <w:t xml:space="preserve">de légères modifications de la conception pour en tirer des avantages majeurs en termes d’efficacité et de durabilité. » (Pour illustrer ce souci du détail, </w:t>
      </w:r>
      <w:proofErr w:type="spellStart"/>
      <w:r>
        <w:rPr>
          <w:rFonts w:ascii="Arial" w:hAnsi="Arial"/>
          <w:sz w:val="22"/>
        </w:rPr>
        <w:t>Cromograf</w:t>
      </w:r>
      <w:proofErr w:type="spellEnd"/>
      <w:r>
        <w:rPr>
          <w:rFonts w:ascii="Arial" w:hAnsi="Arial"/>
          <w:sz w:val="22"/>
        </w:rPr>
        <w:t xml:space="preserve"> a positionné, pour l’un des travaux présentés aux GFIA, des repères de coupe et des cibles de contrôle du processus </w:t>
      </w:r>
      <w:r>
        <w:rPr>
          <w:rFonts w:ascii="Arial" w:hAnsi="Arial"/>
          <w:i/>
          <w:iCs/>
          <w:sz w:val="22"/>
        </w:rPr>
        <w:t>au sein du travail</w:t>
      </w:r>
      <w:r>
        <w:rPr>
          <w:rFonts w:ascii="Arial" w:hAnsi="Arial"/>
          <w:sz w:val="22"/>
        </w:rPr>
        <w:t>, économisant ainsi 1 % des supports, ce qui, comme l’ont noté les jurés, s’est traduit par des chiffres significatifs sur l’ensemble du cycle de production.)</w:t>
      </w:r>
    </w:p>
    <w:bookmarkEnd w:id="0"/>
    <w:p w14:paraId="121682FC" w14:textId="77777777" w:rsidR="00C948CB" w:rsidRDefault="00C948CB">
      <w:pPr>
        <w:pStyle w:val="Standard"/>
        <w:spacing w:line="360" w:lineRule="auto"/>
        <w:rPr>
          <w:rFonts w:ascii="Arial" w:hAnsi="Arial" w:cs="Arial"/>
          <w:sz w:val="22"/>
          <w:szCs w:val="22"/>
        </w:rPr>
      </w:pPr>
    </w:p>
    <w:p w14:paraId="04ABB96B" w14:textId="77777777" w:rsidR="00C948CB" w:rsidRDefault="00183971">
      <w:pPr>
        <w:pStyle w:val="Standard"/>
        <w:spacing w:line="360" w:lineRule="auto"/>
      </w:pPr>
      <w:r>
        <w:rPr>
          <w:rFonts w:ascii="Arial" w:hAnsi="Arial"/>
          <w:sz w:val="22"/>
        </w:rPr>
        <w:t xml:space="preserve">En conclusion de notre discussion, elle salue également la contribution des équipes de Miraclon. « Il est appréciable de travailler avec une excellente équipe depuis de nombreuses années. Nous considérons Miraclon et notre distributeur local, </w:t>
      </w:r>
      <w:proofErr w:type="spellStart"/>
      <w:r>
        <w:rPr>
          <w:rFonts w:ascii="Arial" w:hAnsi="Arial"/>
          <w:sz w:val="22"/>
        </w:rPr>
        <w:t>Lumila</w:t>
      </w:r>
      <w:proofErr w:type="spellEnd"/>
      <w:r>
        <w:rPr>
          <w:rFonts w:ascii="Arial" w:hAnsi="Arial"/>
          <w:sz w:val="22"/>
        </w:rPr>
        <w:t>, comme des acteurs essentiels de notre activité. »</w:t>
      </w:r>
    </w:p>
    <w:p w14:paraId="4AF4F65E" w14:textId="77777777" w:rsidR="00C948CB" w:rsidRDefault="00C948CB">
      <w:pPr>
        <w:pStyle w:val="Standard"/>
        <w:spacing w:line="360" w:lineRule="auto"/>
        <w:rPr>
          <w:rFonts w:ascii="Arial" w:hAnsi="Arial" w:cs="Arial"/>
          <w:sz w:val="22"/>
          <w:szCs w:val="22"/>
        </w:rPr>
      </w:pPr>
    </w:p>
    <w:p w14:paraId="329C4C57" w14:textId="77777777" w:rsidR="00C948CB" w:rsidRDefault="00183971">
      <w:pPr>
        <w:pStyle w:val="Standard"/>
        <w:spacing w:line="360" w:lineRule="auto"/>
        <w:jc w:val="center"/>
      </w:pPr>
      <w:r>
        <w:rPr>
          <w:rFonts w:ascii="Arial" w:hAnsi="Arial"/>
          <w:b/>
          <w:color w:val="000000"/>
          <w:sz w:val="22"/>
        </w:rPr>
        <w:t>FIN</w:t>
      </w:r>
    </w:p>
    <w:p w14:paraId="3129776E" w14:textId="77777777" w:rsidR="00C948CB" w:rsidRDefault="00C948CB">
      <w:pPr>
        <w:pStyle w:val="Standard"/>
        <w:spacing w:line="360" w:lineRule="auto"/>
        <w:jc w:val="center"/>
        <w:rPr>
          <w:rFonts w:ascii="Arial" w:hAnsi="Arial" w:cs="Arial"/>
          <w:b/>
          <w:bCs/>
          <w:sz w:val="22"/>
          <w:szCs w:val="22"/>
        </w:rPr>
      </w:pPr>
    </w:p>
    <w:p w14:paraId="1ED777ED" w14:textId="77777777" w:rsidR="00C948CB" w:rsidRDefault="00183971">
      <w:pPr>
        <w:pStyle w:val="Standard"/>
      </w:pPr>
      <w:r>
        <w:rPr>
          <w:rFonts w:ascii="Arial" w:hAnsi="Arial"/>
          <w:b/>
        </w:rPr>
        <w:t>À propos de Miraclon</w:t>
      </w:r>
    </w:p>
    <w:p w14:paraId="31DB92F0" w14:textId="48C9D295" w:rsidR="00C948CB" w:rsidRDefault="00183971" w:rsidP="00975150">
      <w:pPr>
        <w:pStyle w:val="Standard"/>
      </w:pPr>
      <w:r>
        <w:rPr>
          <w:rFonts w:ascii="Arial" w:hAnsi="Arial"/>
        </w:rPr>
        <w:t xml:space="preserve">Miraclon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Miraclon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10" w:history="1">
        <w:r>
          <w:rPr>
            <w:rStyle w:val="Internetlink"/>
            <w:rFonts w:ascii="Arial" w:hAnsi="Arial"/>
          </w:rPr>
          <w:t>www.miraclon.com</w:t>
        </w:r>
      </w:hyperlink>
      <w:r>
        <w:rPr>
          <w:rFonts w:ascii="Arial" w:hAnsi="Arial"/>
        </w:rPr>
        <w:t xml:space="preserve"> et suivez-nous sur </w:t>
      </w:r>
      <w:hyperlink r:id="rId11" w:history="1">
        <w:r>
          <w:rPr>
            <w:rStyle w:val="Internetlink"/>
            <w:rFonts w:ascii="Arial" w:hAnsi="Arial"/>
          </w:rPr>
          <w:t>LinkedIn</w:t>
        </w:r>
      </w:hyperlink>
      <w:r>
        <w:rPr>
          <w:rFonts w:ascii="Arial" w:hAnsi="Arial"/>
        </w:rPr>
        <w:t xml:space="preserve"> et </w:t>
      </w:r>
      <w:hyperlink r:id="rId12" w:history="1">
        <w:r>
          <w:rPr>
            <w:rStyle w:val="Internetlink"/>
            <w:rFonts w:ascii="Arial" w:hAnsi="Arial"/>
          </w:rPr>
          <w:t>YouTube</w:t>
        </w:r>
      </w:hyperlink>
      <w:r>
        <w:rPr>
          <w:rFonts w:ascii="Arial" w:hAnsi="Arial"/>
        </w:rPr>
        <w:t>.</w:t>
      </w:r>
    </w:p>
    <w:sectPr w:rsidR="00C948CB">
      <w:headerReference w:type="default" r:id="rId13"/>
      <w:footerReference w:type="default" r:id="rId14"/>
      <w:pgSz w:w="12240" w:h="15840"/>
      <w:pgMar w:top="777" w:right="1376"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758D" w14:textId="77777777" w:rsidR="002B0F4A" w:rsidRDefault="002B0F4A">
      <w:r>
        <w:separator/>
      </w:r>
    </w:p>
  </w:endnote>
  <w:endnote w:type="continuationSeparator" w:id="0">
    <w:p w14:paraId="26A8BFB3" w14:textId="77777777" w:rsidR="002B0F4A" w:rsidRDefault="002B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6B3B" w14:textId="77777777" w:rsidR="0020542D" w:rsidRDefault="00183971">
    <w:pPr>
      <w:pStyle w:val="Footer"/>
    </w:pPr>
    <w:r>
      <w:rPr>
        <w:noProof/>
      </w:rPr>
      <w:drawing>
        <wp:anchor distT="0" distB="0" distL="114300" distR="114300" simplePos="0" relativeHeight="251659264" behindDoc="0" locked="0" layoutInCell="1" allowOverlap="1" wp14:anchorId="17777AC2" wp14:editId="7F5F0505">
          <wp:simplePos x="0" y="0"/>
          <wp:positionH relativeFrom="margin">
            <wp:align>right</wp:align>
          </wp:positionH>
          <wp:positionV relativeFrom="paragraph">
            <wp:posOffset>-160655</wp:posOffset>
          </wp:positionV>
          <wp:extent cx="550080" cy="5428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50080" cy="54288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FDFF" w14:textId="77777777" w:rsidR="002B0F4A" w:rsidRDefault="002B0F4A">
      <w:r>
        <w:rPr>
          <w:color w:val="000000"/>
        </w:rPr>
        <w:separator/>
      </w:r>
    </w:p>
  </w:footnote>
  <w:footnote w:type="continuationSeparator" w:id="0">
    <w:p w14:paraId="08D81E0E" w14:textId="77777777" w:rsidR="002B0F4A" w:rsidRDefault="002B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5B93" w14:textId="77777777" w:rsidR="0020542D" w:rsidRDefault="00183971">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4D0"/>
    <w:multiLevelType w:val="multilevel"/>
    <w:tmpl w:val="DD86E734"/>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7C4237B"/>
    <w:multiLevelType w:val="multilevel"/>
    <w:tmpl w:val="C54224C2"/>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 w15:restartNumberingAfterBreak="0">
    <w:nsid w:val="0E812E2B"/>
    <w:multiLevelType w:val="multilevel"/>
    <w:tmpl w:val="CF7E8940"/>
    <w:styleLink w:val="WWNum6"/>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12A337D7"/>
    <w:multiLevelType w:val="multilevel"/>
    <w:tmpl w:val="F174B30C"/>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9D35F16"/>
    <w:multiLevelType w:val="multilevel"/>
    <w:tmpl w:val="17848112"/>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F9C5472"/>
    <w:multiLevelType w:val="multilevel"/>
    <w:tmpl w:val="B8B0E59A"/>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27068C0"/>
    <w:multiLevelType w:val="multilevel"/>
    <w:tmpl w:val="ADBEC02C"/>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31A5124"/>
    <w:multiLevelType w:val="multilevel"/>
    <w:tmpl w:val="4B94DEA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23524C4D"/>
    <w:multiLevelType w:val="multilevel"/>
    <w:tmpl w:val="E6807B2A"/>
    <w:styleLink w:val="WWNum5"/>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9" w15:restartNumberingAfterBreak="0">
    <w:nsid w:val="329B1113"/>
    <w:multiLevelType w:val="multilevel"/>
    <w:tmpl w:val="601C6876"/>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344F78B0"/>
    <w:multiLevelType w:val="multilevel"/>
    <w:tmpl w:val="93A21184"/>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ABB64FB"/>
    <w:multiLevelType w:val="multilevel"/>
    <w:tmpl w:val="58EE30AE"/>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E674332"/>
    <w:multiLevelType w:val="multilevel"/>
    <w:tmpl w:val="25CECB22"/>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41CA160D"/>
    <w:multiLevelType w:val="multilevel"/>
    <w:tmpl w:val="58C2A42E"/>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46376794"/>
    <w:multiLevelType w:val="multilevel"/>
    <w:tmpl w:val="C2A24CAE"/>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50AB69ED"/>
    <w:multiLevelType w:val="multilevel"/>
    <w:tmpl w:val="0DC225FA"/>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54AD3E9E"/>
    <w:multiLevelType w:val="multilevel"/>
    <w:tmpl w:val="D5E0AF54"/>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6C4578C"/>
    <w:multiLevelType w:val="multilevel"/>
    <w:tmpl w:val="C610FF9C"/>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8" w15:restartNumberingAfterBreak="0">
    <w:nsid w:val="573A19B4"/>
    <w:multiLevelType w:val="multilevel"/>
    <w:tmpl w:val="7B9C7846"/>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A0E16E9"/>
    <w:multiLevelType w:val="multilevel"/>
    <w:tmpl w:val="3F3A1CF8"/>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B91112C"/>
    <w:multiLevelType w:val="multilevel"/>
    <w:tmpl w:val="F74EEDCE"/>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CA60378"/>
    <w:multiLevelType w:val="multilevel"/>
    <w:tmpl w:val="A050A562"/>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4E0407F"/>
    <w:multiLevelType w:val="multilevel"/>
    <w:tmpl w:val="F3E67FC8"/>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E4D4B62"/>
    <w:multiLevelType w:val="multilevel"/>
    <w:tmpl w:val="8654D6F2"/>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81E7025"/>
    <w:multiLevelType w:val="multilevel"/>
    <w:tmpl w:val="F9420034"/>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798E0A3D"/>
    <w:multiLevelType w:val="multilevel"/>
    <w:tmpl w:val="E0801C4C"/>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AC22D9B"/>
    <w:multiLevelType w:val="multilevel"/>
    <w:tmpl w:val="ACD03B4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ACD5E1B"/>
    <w:multiLevelType w:val="multilevel"/>
    <w:tmpl w:val="0D90A716"/>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00609681">
    <w:abstractNumId w:val="20"/>
  </w:num>
  <w:num w:numId="2" w16cid:durableId="1141733960">
    <w:abstractNumId w:val="3"/>
  </w:num>
  <w:num w:numId="3" w16cid:durableId="1246494971">
    <w:abstractNumId w:val="23"/>
  </w:num>
  <w:num w:numId="4" w16cid:durableId="606888059">
    <w:abstractNumId w:val="14"/>
  </w:num>
  <w:num w:numId="5" w16cid:durableId="1012495738">
    <w:abstractNumId w:val="8"/>
  </w:num>
  <w:num w:numId="6" w16cid:durableId="1654407361">
    <w:abstractNumId w:val="2"/>
  </w:num>
  <w:num w:numId="7" w16cid:durableId="862091716">
    <w:abstractNumId w:val="27"/>
  </w:num>
  <w:num w:numId="8" w16cid:durableId="82994893">
    <w:abstractNumId w:val="5"/>
  </w:num>
  <w:num w:numId="9" w16cid:durableId="962730984">
    <w:abstractNumId w:val="1"/>
  </w:num>
  <w:num w:numId="10" w16cid:durableId="1296183129">
    <w:abstractNumId w:val="19"/>
  </w:num>
  <w:num w:numId="11" w16cid:durableId="935594760">
    <w:abstractNumId w:val="10"/>
  </w:num>
  <w:num w:numId="12" w16cid:durableId="438454089">
    <w:abstractNumId w:val="21"/>
  </w:num>
  <w:num w:numId="13" w16cid:durableId="943458268">
    <w:abstractNumId w:val="26"/>
  </w:num>
  <w:num w:numId="14" w16cid:durableId="530804932">
    <w:abstractNumId w:val="7"/>
  </w:num>
  <w:num w:numId="15" w16cid:durableId="1157838108">
    <w:abstractNumId w:val="22"/>
  </w:num>
  <w:num w:numId="16" w16cid:durableId="735669257">
    <w:abstractNumId w:val="12"/>
  </w:num>
  <w:num w:numId="17" w16cid:durableId="1619606773">
    <w:abstractNumId w:val="16"/>
  </w:num>
  <w:num w:numId="18" w16cid:durableId="2103063356">
    <w:abstractNumId w:val="13"/>
  </w:num>
  <w:num w:numId="19" w16cid:durableId="486557762">
    <w:abstractNumId w:val="15"/>
  </w:num>
  <w:num w:numId="20" w16cid:durableId="1189100928">
    <w:abstractNumId w:val="18"/>
  </w:num>
  <w:num w:numId="21" w16cid:durableId="1972663335">
    <w:abstractNumId w:val="6"/>
  </w:num>
  <w:num w:numId="22" w16cid:durableId="94450584">
    <w:abstractNumId w:val="11"/>
  </w:num>
  <w:num w:numId="23" w16cid:durableId="1993868330">
    <w:abstractNumId w:val="4"/>
  </w:num>
  <w:num w:numId="24" w16cid:durableId="121654408">
    <w:abstractNumId w:val="24"/>
  </w:num>
  <w:num w:numId="25" w16cid:durableId="69885299">
    <w:abstractNumId w:val="9"/>
  </w:num>
  <w:num w:numId="26" w16cid:durableId="1751922557">
    <w:abstractNumId w:val="17"/>
  </w:num>
  <w:num w:numId="27" w16cid:durableId="428935871">
    <w:abstractNumId w:val="0"/>
  </w:num>
  <w:num w:numId="28" w16cid:durableId="31080901">
    <w:abstractNumId w:val="25"/>
  </w:num>
  <w:num w:numId="29" w16cid:durableId="17614115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CB"/>
    <w:rsid w:val="00092C5F"/>
    <w:rsid w:val="00183971"/>
    <w:rsid w:val="00253887"/>
    <w:rsid w:val="00293E5B"/>
    <w:rsid w:val="002B0F4A"/>
    <w:rsid w:val="008D36E7"/>
    <w:rsid w:val="00935CB6"/>
    <w:rsid w:val="00975150"/>
    <w:rsid w:val="00A35854"/>
    <w:rsid w:val="00C948CB"/>
    <w:rsid w:val="00D35379"/>
    <w:rsid w:val="00F72B0F"/>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Textbody"/>
    <w:uiPriority w:val="9"/>
    <w:qFormat/>
    <w:pPr>
      <w:keepNext/>
      <w:outlineLvl w:val="0"/>
    </w:pPr>
    <w:rPr>
      <w:b/>
    </w:rPr>
  </w:style>
  <w:style w:type="paragraph" w:styleId="Heading2">
    <w:name w:val="heading 2"/>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customStyle="1" w:styleId="Standard1">
    <w:name w:val="Standard1"/>
    <w:pPr>
      <w:widowControl/>
    </w:pPr>
    <w:rPr>
      <w:rFonts w:ascii="Verdana" w:hAnsi="Verdana"/>
      <w:szCs w:val="24"/>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Revision">
    <w:name w:val="Revision"/>
    <w:pPr>
      <w:widowControl/>
      <w:suppressAutoHyphens w:val="0"/>
    </w:pPr>
  </w:style>
  <w:style w:type="character" w:customStyle="1" w:styleId="Internetlink">
    <w:name w:val="Internet link"/>
    <w:basedOn w:val="DefaultParagraphFont"/>
    <w:rPr>
      <w:color w:val="0563C1"/>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character" w:customStyle="1" w:styleId="NichtaufgelsteErwhnung1">
    <w:name w:val="Nicht aufgelöste Erwähnung1"/>
    <w:basedOn w:val="DefaultParagraphFont"/>
    <w:rPr>
      <w:color w:val="605E5C"/>
    </w:rPr>
  </w:style>
  <w:style w:type="character" w:customStyle="1" w:styleId="HTMLPreformattedChar1">
    <w:name w:val="HTML Preformatted Char1"/>
    <w:basedOn w:val="DefaultParagraphFont"/>
    <w:rPr>
      <w:rFonts w:ascii="Courier New" w:hAnsi="Courier New" w:cs="Courier New"/>
    </w:rPr>
  </w:style>
  <w:style w:type="character" w:customStyle="1" w:styleId="acopre">
    <w:name w:val="acopre"/>
    <w:basedOn w:val="DefaultParagraphFont"/>
  </w:style>
  <w:style w:type="character" w:customStyle="1" w:styleId="ListLabel2">
    <w:name w:val="ListLabel 2"/>
    <w:rPr>
      <w:rFonts w:cs="Arial"/>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character" w:styleId="Hyperlink">
    <w:name w:val="Hyperlink"/>
    <w:basedOn w:val="DefaultParagraphFont"/>
    <w:uiPriority w:val="99"/>
    <w:semiHidden/>
    <w:unhideWhenUsed/>
    <w:rsid w:val="00975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16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7153</Characters>
  <Application>Microsoft Office Word</Application>
  <DocSecurity>0</DocSecurity>
  <Lines>140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2022-12-09T08:34:00Z</dcterms:created>
  <dcterms:modified xsi:type="dcterms:W3CDTF">2023-01-12T09:45:00Z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d904f0501c3038da7b347295999173ff1a7b0709177372934b042ed71b03ba6f</vt:lpwstr>
  </property>
</Properties>
</file>