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63C6" w14:textId="56CD193A" w:rsidR="00C948CB" w:rsidRDefault="00183971">
      <w:pPr>
        <w:pStyle w:val="p1"/>
        <w:spacing w:line="360" w:lineRule="auto"/>
        <w:rPr>
          <w:b/>
        </w:rPr>
      </w:pPr>
      <w:r>
        <w:rPr>
          <w:b/>
          <w:noProof/>
        </w:rPr>
        <w:drawing>
          <wp:anchor distT="0" distB="0" distL="114300" distR="114300" simplePos="0" relativeHeight="251659264" behindDoc="0" locked="0" layoutInCell="1" allowOverlap="1" wp14:anchorId="50C39AEA" wp14:editId="154DB7BD">
            <wp:simplePos x="0" y="0"/>
            <wp:positionH relativeFrom="column">
              <wp:posOffset>4222799</wp:posOffset>
            </wp:positionH>
            <wp:positionV relativeFrom="page">
              <wp:posOffset>720</wp:posOffset>
            </wp:positionV>
            <wp:extent cx="2295360" cy="1252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5360" cy="1252800"/>
                    </a:xfrm>
                    <a:prstGeom prst="rect">
                      <a:avLst/>
                    </a:prstGeom>
                    <a:noFill/>
                    <a:ln>
                      <a:noFill/>
                      <a:prstDash/>
                    </a:ln>
                  </pic:spPr>
                </pic:pic>
              </a:graphicData>
            </a:graphic>
          </wp:anchor>
        </w:drawing>
      </w:r>
    </w:p>
    <w:p w14:paraId="7B516670" w14:textId="77777777" w:rsidR="00C948CB" w:rsidRPr="00183971" w:rsidRDefault="00183971">
      <w:pPr>
        <w:pStyle w:val="p1"/>
        <w:spacing w:line="360" w:lineRule="auto"/>
      </w:pPr>
      <w:r>
        <w:rPr>
          <w:b/>
          <w:sz w:val="20"/>
        </w:rPr>
        <w:t>Perfil ganador de GFIA</w:t>
      </w:r>
    </w:p>
    <w:p w14:paraId="7CD3C9C6" w14:textId="77777777" w:rsidR="00C948CB" w:rsidRPr="00D66166" w:rsidRDefault="00C948CB">
      <w:pPr>
        <w:pStyle w:val="Standard1"/>
        <w:spacing w:line="360" w:lineRule="auto"/>
        <w:rPr>
          <w:rFonts w:ascii="Arial" w:hAnsi="Arial" w:cs="Arial"/>
          <w:szCs w:val="20"/>
        </w:rPr>
      </w:pPr>
    </w:p>
    <w:p w14:paraId="63F0B121" w14:textId="77777777" w:rsidR="00C948CB" w:rsidRPr="00D66166" w:rsidRDefault="00C948CB">
      <w:pPr>
        <w:pStyle w:val="Standard1"/>
        <w:rPr>
          <w:rFonts w:ascii="Arial" w:hAnsi="Arial" w:cs="Arial"/>
          <w:szCs w:val="20"/>
        </w:rPr>
      </w:pPr>
    </w:p>
    <w:p w14:paraId="23C8371A" w14:textId="77777777" w:rsidR="00C948CB" w:rsidRPr="00183971" w:rsidRDefault="00183971">
      <w:pPr>
        <w:pStyle w:val="Standard1"/>
      </w:pPr>
      <w:r>
        <w:rPr>
          <w:rFonts w:ascii="Arial" w:hAnsi="Arial"/>
        </w:rPr>
        <w:t>Contacto de prensa:</w:t>
      </w:r>
    </w:p>
    <w:p w14:paraId="7AAB6184" w14:textId="77777777" w:rsidR="00D66166" w:rsidRDefault="00D66166" w:rsidP="00D66166">
      <w:pPr>
        <w:pStyle w:val="Standard"/>
        <w:rPr>
          <w:rFonts w:ascii="Arial" w:hAnsi="Arial" w:cs="Arial"/>
          <w:lang w:val="es-ES"/>
        </w:rPr>
      </w:pPr>
      <w:r>
        <w:rPr>
          <w:rFonts w:ascii="Arial" w:hAnsi="Arial" w:cs="Arial"/>
          <w:color w:val="000000"/>
          <w:lang w:val="es-ES"/>
        </w:rPr>
        <w:t xml:space="preserve">Elni Van Rensburg - +1 830 317 0950 – </w:t>
      </w:r>
      <w:hyperlink r:id="rId8" w:history="1">
        <w:r>
          <w:rPr>
            <w:rStyle w:val="Hyperlink"/>
            <w:rFonts w:ascii="Arial" w:hAnsi="Arial" w:cs="Arial"/>
            <w:lang w:val="es-ES"/>
          </w:rPr>
          <w:t>elni.vanrensburg@miraclon.com</w:t>
        </w:r>
      </w:hyperlink>
      <w:r>
        <w:rPr>
          <w:rFonts w:ascii="Arial" w:hAnsi="Arial" w:cs="Arial"/>
          <w:color w:val="000000"/>
          <w:lang w:val="es-ES"/>
        </w:rPr>
        <w:t xml:space="preserve">  </w:t>
      </w:r>
    </w:p>
    <w:p w14:paraId="1BC90F6C" w14:textId="77777777" w:rsidR="00D66166" w:rsidRDefault="00D66166" w:rsidP="00D66166">
      <w:pPr>
        <w:pStyle w:val="Standard"/>
        <w:rPr>
          <w:rFonts w:ascii="Arial" w:hAnsi="Arial" w:cs="Arial"/>
          <w:color w:val="000000"/>
          <w:lang w:val="es-ES"/>
        </w:rPr>
      </w:pPr>
      <w:r>
        <w:rPr>
          <w:rFonts w:ascii="Arial" w:hAnsi="Arial" w:cs="Arial"/>
          <w:color w:val="000000"/>
          <w:lang w:val="es-ES"/>
        </w:rPr>
        <w:t xml:space="preserve">AD </w:t>
      </w:r>
      <w:proofErr w:type="spellStart"/>
      <w:r>
        <w:rPr>
          <w:rFonts w:ascii="Arial" w:hAnsi="Arial" w:cs="Arial"/>
          <w:color w:val="000000"/>
          <w:lang w:val="es-ES"/>
        </w:rPr>
        <w:t>Communications</w:t>
      </w:r>
      <w:proofErr w:type="spellEnd"/>
      <w:r>
        <w:rPr>
          <w:rFonts w:ascii="Arial" w:hAnsi="Arial" w:cs="Arial"/>
          <w:color w:val="000000"/>
          <w:lang w:val="es-ES"/>
        </w:rPr>
        <w:t xml:space="preserve">: Imogen Woods – +44 (0)1372 464 470 – </w:t>
      </w:r>
      <w:hyperlink r:id="rId9" w:history="1">
        <w:r>
          <w:rPr>
            <w:rStyle w:val="Hyperlink"/>
            <w:rFonts w:ascii="Arial" w:hAnsi="Arial" w:cs="Arial"/>
            <w:lang w:val="es-ES"/>
          </w:rPr>
          <w:t>iwoods@adcomms.co.uk</w:t>
        </w:r>
      </w:hyperlink>
    </w:p>
    <w:p w14:paraId="598FAB27" w14:textId="77777777" w:rsidR="00C948CB" w:rsidRPr="00D66166" w:rsidRDefault="00C948CB">
      <w:pPr>
        <w:pStyle w:val="Standard1"/>
        <w:rPr>
          <w:rFonts w:ascii="Arial" w:hAnsi="Arial" w:cs="Arial"/>
          <w:color w:val="000000"/>
          <w:szCs w:val="20"/>
        </w:rPr>
      </w:pPr>
    </w:p>
    <w:p w14:paraId="77A5E9A8" w14:textId="7F305CF0" w:rsidR="00C948CB" w:rsidRDefault="00D66166">
      <w:pPr>
        <w:pStyle w:val="Standard"/>
      </w:pPr>
      <w:r>
        <w:rPr>
          <w:rFonts w:ascii="Arial" w:hAnsi="Arial"/>
        </w:rPr>
        <w:t>12</w:t>
      </w:r>
      <w:r w:rsidR="00253887">
        <w:rPr>
          <w:rFonts w:ascii="Arial" w:hAnsi="Arial"/>
        </w:rPr>
        <w:t xml:space="preserve"> de enero de 2023</w:t>
      </w:r>
    </w:p>
    <w:p w14:paraId="3301C0DA" w14:textId="77777777" w:rsidR="00C948CB" w:rsidRDefault="00183971">
      <w:pPr>
        <w:pStyle w:val="Standard"/>
        <w:spacing w:line="360" w:lineRule="auto"/>
        <w:jc w:val="center"/>
      </w:pPr>
      <w:r>
        <w:rPr>
          <w:rFonts w:ascii="Arial" w:hAnsi="Arial"/>
          <w:b/>
          <w:sz w:val="28"/>
        </w:rPr>
        <w:br/>
      </w:r>
      <w:r>
        <w:rPr>
          <w:rFonts w:ascii="Arial" w:hAnsi="Arial"/>
          <w:b/>
          <w:sz w:val="26"/>
        </w:rPr>
        <w:t xml:space="preserve">La trayectoria pionera de </w:t>
      </w:r>
      <w:proofErr w:type="spellStart"/>
      <w:r>
        <w:rPr>
          <w:rFonts w:ascii="Arial" w:hAnsi="Arial"/>
          <w:b/>
          <w:sz w:val="26"/>
        </w:rPr>
        <w:t>Cromograf</w:t>
      </w:r>
      <w:proofErr w:type="spellEnd"/>
      <w:r>
        <w:rPr>
          <w:rFonts w:ascii="Arial" w:hAnsi="Arial"/>
          <w:b/>
          <w:sz w:val="26"/>
        </w:rPr>
        <w:t xml:space="preserve"> hacia la producción sostenible de empaques obtiene el premio Gold a la innovación</w:t>
      </w:r>
    </w:p>
    <w:p w14:paraId="6550378C" w14:textId="77777777" w:rsidR="00C948CB" w:rsidRDefault="00183971">
      <w:pPr>
        <w:pStyle w:val="Standard"/>
        <w:spacing w:line="360" w:lineRule="auto"/>
        <w:jc w:val="center"/>
      </w:pPr>
      <w:r>
        <w:rPr>
          <w:rFonts w:ascii="Arial" w:hAnsi="Arial"/>
          <w:b/>
          <w:i/>
          <w:sz w:val="22"/>
        </w:rPr>
        <w:t xml:space="preserve">Un camino hacia la gama ampliada de colores (ECG) de 14 años con Kodak FLEXCEL NX </w:t>
      </w:r>
      <w:proofErr w:type="spellStart"/>
      <w:r>
        <w:rPr>
          <w:rFonts w:ascii="Arial" w:hAnsi="Arial"/>
          <w:b/>
          <w:i/>
          <w:sz w:val="22"/>
        </w:rPr>
        <w:t>System</w:t>
      </w:r>
      <w:proofErr w:type="spellEnd"/>
      <w:r>
        <w:rPr>
          <w:rFonts w:ascii="Arial" w:hAnsi="Arial"/>
          <w:b/>
          <w:i/>
          <w:sz w:val="22"/>
        </w:rPr>
        <w:t xml:space="preserve"> posiciona a </w:t>
      </w:r>
      <w:proofErr w:type="spellStart"/>
      <w:r>
        <w:rPr>
          <w:rFonts w:ascii="Arial" w:hAnsi="Arial"/>
          <w:b/>
          <w:i/>
          <w:sz w:val="22"/>
        </w:rPr>
        <w:t>Cromograf</w:t>
      </w:r>
      <w:proofErr w:type="spellEnd"/>
      <w:r>
        <w:rPr>
          <w:rFonts w:ascii="Arial" w:hAnsi="Arial"/>
          <w:b/>
          <w:i/>
          <w:sz w:val="22"/>
        </w:rPr>
        <w:t xml:space="preserve"> como un líder tecnológico en América Latina</w:t>
      </w:r>
    </w:p>
    <w:p w14:paraId="516FD338" w14:textId="77777777" w:rsidR="00C948CB" w:rsidRDefault="00C948CB">
      <w:pPr>
        <w:pStyle w:val="Standard"/>
        <w:spacing w:line="360" w:lineRule="auto"/>
        <w:rPr>
          <w:rFonts w:ascii="Arial" w:hAnsi="Arial" w:cs="Arial"/>
          <w:sz w:val="22"/>
          <w:szCs w:val="22"/>
        </w:rPr>
      </w:pPr>
    </w:p>
    <w:p w14:paraId="4A06F19F" w14:textId="77777777" w:rsidR="00C948CB" w:rsidRDefault="00183971">
      <w:pPr>
        <w:pStyle w:val="Standard"/>
        <w:spacing w:line="360" w:lineRule="auto"/>
      </w:pPr>
      <w:r>
        <w:rPr>
          <w:rFonts w:ascii="Arial" w:hAnsi="Arial"/>
          <w:sz w:val="22"/>
        </w:rPr>
        <w:t xml:space="preserve">Durante los últimos 15 años, la tienda comercial de preprensa de empaques flexibles uruguaya, </w:t>
      </w:r>
      <w:proofErr w:type="spellStart"/>
      <w:r>
        <w:rPr>
          <w:rFonts w:ascii="Arial" w:hAnsi="Arial"/>
          <w:sz w:val="22"/>
        </w:rPr>
        <w:t>Cromograf</w:t>
      </w:r>
      <w:proofErr w:type="spellEnd"/>
      <w:r>
        <w:rPr>
          <w:rFonts w:ascii="Arial" w:hAnsi="Arial"/>
          <w:sz w:val="22"/>
        </w:rPr>
        <w:t xml:space="preserve">, se ha ampliado más allá de su base en Montevideo y se ha convertido en un modelo de negocios para América Latina. La Directora Ejecutiva, Alejandra Acosta </w:t>
      </w:r>
      <w:proofErr w:type="spellStart"/>
      <w:r>
        <w:rPr>
          <w:rFonts w:ascii="Arial" w:hAnsi="Arial"/>
          <w:sz w:val="22"/>
        </w:rPr>
        <w:t>Salati</w:t>
      </w:r>
      <w:proofErr w:type="spellEnd"/>
      <w:r>
        <w:rPr>
          <w:rFonts w:ascii="Arial" w:hAnsi="Arial"/>
          <w:sz w:val="22"/>
        </w:rPr>
        <w:t xml:space="preserve"> describe este proceso como el “ADN inquieto de la empresa, que siempre nos motiva a mejorar. Como resultado, nos hemos convertido en una especie de laboratorio de innovación que ha impulsado el cambio en otras tiendas comerciales”.</w:t>
      </w:r>
    </w:p>
    <w:p w14:paraId="07703848" w14:textId="77777777" w:rsidR="00C948CB" w:rsidRDefault="00C948CB">
      <w:pPr>
        <w:pStyle w:val="Standard"/>
        <w:spacing w:line="360" w:lineRule="auto"/>
        <w:rPr>
          <w:rFonts w:ascii="Arial" w:hAnsi="Arial" w:cs="Arial"/>
          <w:sz w:val="22"/>
          <w:szCs w:val="22"/>
        </w:rPr>
      </w:pPr>
    </w:p>
    <w:p w14:paraId="772BDBA0" w14:textId="77777777" w:rsidR="00C948CB" w:rsidRPr="00253887" w:rsidRDefault="00183971">
      <w:pPr>
        <w:pStyle w:val="Standard"/>
        <w:spacing w:line="360" w:lineRule="auto"/>
        <w:rPr>
          <w:color w:val="000000" w:themeColor="text1"/>
        </w:rPr>
      </w:pPr>
      <w:r>
        <w:rPr>
          <w:rFonts w:ascii="Arial" w:hAnsi="Arial"/>
          <w:sz w:val="22"/>
        </w:rPr>
        <w:t xml:space="preserve">La incorporación de la producción sostenible de </w:t>
      </w:r>
      <w:proofErr w:type="spellStart"/>
      <w:r>
        <w:rPr>
          <w:rFonts w:ascii="Arial" w:hAnsi="Arial"/>
          <w:sz w:val="22"/>
        </w:rPr>
        <w:t>Cromograf</w:t>
      </w:r>
      <w:proofErr w:type="spellEnd"/>
      <w:r>
        <w:rPr>
          <w:rFonts w:ascii="Arial" w:hAnsi="Arial"/>
          <w:sz w:val="22"/>
        </w:rPr>
        <w:t xml:space="preserve"> es un excelente ejemplo del espíritu pionero de la empresa. Mientras que el uso consciente y planificado de los recursos puede ahora ser un mantra para todas las partes interesadas en la cadena de suministro de empaques</w:t>
      </w:r>
      <w:r>
        <w:rPr>
          <w:rFonts w:ascii="Arial" w:hAnsi="Arial"/>
          <w:color w:val="000000" w:themeColor="text1"/>
          <w:sz w:val="22"/>
        </w:rPr>
        <w:t xml:space="preserve">, </w:t>
      </w:r>
      <w:proofErr w:type="spellStart"/>
      <w:r>
        <w:rPr>
          <w:rFonts w:ascii="Arial" w:hAnsi="Arial"/>
          <w:color w:val="000000" w:themeColor="text1"/>
          <w:sz w:val="22"/>
        </w:rPr>
        <w:t>Cromograf</w:t>
      </w:r>
      <w:proofErr w:type="spellEnd"/>
      <w:r>
        <w:rPr>
          <w:rFonts w:ascii="Arial" w:hAnsi="Arial"/>
          <w:color w:val="000000" w:themeColor="text1"/>
          <w:sz w:val="22"/>
        </w:rPr>
        <w:t xml:space="preserve"> ya se había embarcado en este viaje en el año 2008. Y Alejandra puede casi precisar la fecha exacta: “En cierta forma, comenzó el día que mi padre, Miguel </w:t>
      </w:r>
      <w:proofErr w:type="spellStart"/>
      <w:r>
        <w:rPr>
          <w:rFonts w:ascii="Arial" w:hAnsi="Arial"/>
          <w:color w:val="000000" w:themeColor="text1"/>
          <w:sz w:val="22"/>
        </w:rPr>
        <w:t>Angel</w:t>
      </w:r>
      <w:proofErr w:type="spellEnd"/>
      <w:r>
        <w:rPr>
          <w:rFonts w:ascii="Arial" w:hAnsi="Arial"/>
          <w:color w:val="000000" w:themeColor="text1"/>
          <w:sz w:val="22"/>
        </w:rPr>
        <w:t xml:space="preserve"> Costa, vio FLEXCEL NX </w:t>
      </w:r>
      <w:proofErr w:type="spellStart"/>
      <w:r>
        <w:rPr>
          <w:rFonts w:ascii="Arial" w:hAnsi="Arial"/>
          <w:color w:val="000000" w:themeColor="text1"/>
          <w:sz w:val="22"/>
        </w:rPr>
        <w:t>System</w:t>
      </w:r>
      <w:proofErr w:type="spellEnd"/>
      <w:r>
        <w:rPr>
          <w:rFonts w:ascii="Arial" w:hAnsi="Arial"/>
          <w:color w:val="000000" w:themeColor="text1"/>
          <w:sz w:val="22"/>
        </w:rPr>
        <w:t>. De inmediato reconoció el potencial de una tecnología que eliminaba las variables y traía nuevos niveles de consistencia al proceso flexográfico.</w:t>
      </w:r>
    </w:p>
    <w:p w14:paraId="68956F2D" w14:textId="77777777" w:rsidR="00C948CB" w:rsidRPr="00253887" w:rsidRDefault="00C948CB">
      <w:pPr>
        <w:pStyle w:val="Standard"/>
        <w:spacing w:line="360" w:lineRule="auto"/>
        <w:rPr>
          <w:rFonts w:ascii="Arial" w:hAnsi="Arial" w:cs="Arial"/>
          <w:color w:val="000000" w:themeColor="text1"/>
          <w:sz w:val="22"/>
          <w:szCs w:val="22"/>
        </w:rPr>
      </w:pPr>
    </w:p>
    <w:p w14:paraId="47D6FA79" w14:textId="53E13623" w:rsidR="00C948CB" w:rsidRDefault="00183971">
      <w:pPr>
        <w:pStyle w:val="Standard"/>
        <w:spacing w:line="360" w:lineRule="auto"/>
      </w:pPr>
      <w:r>
        <w:rPr>
          <w:rFonts w:ascii="Arial" w:hAnsi="Arial"/>
          <w:color w:val="000000" w:themeColor="text1"/>
          <w:sz w:val="22"/>
        </w:rPr>
        <w:t xml:space="preserve">“Creíamos en la necesidad de optimizar y estandarizar los procesos lo más posible, y FLEXCEL NX </w:t>
      </w:r>
      <w:proofErr w:type="spellStart"/>
      <w:r>
        <w:rPr>
          <w:rFonts w:ascii="Arial" w:hAnsi="Arial"/>
          <w:color w:val="000000" w:themeColor="text1"/>
          <w:sz w:val="22"/>
        </w:rPr>
        <w:t>System</w:t>
      </w:r>
      <w:proofErr w:type="spellEnd"/>
      <w:r>
        <w:rPr>
          <w:rFonts w:ascii="Arial" w:hAnsi="Arial"/>
          <w:color w:val="000000" w:themeColor="text1"/>
          <w:sz w:val="22"/>
        </w:rPr>
        <w:t xml:space="preserve"> proporcionaba la mejor plataforma para lograrlo y obtener una producción repetible</w:t>
      </w:r>
      <w:r>
        <w:rPr>
          <w:rFonts w:ascii="Arial" w:hAnsi="Arial"/>
          <w:sz w:val="22"/>
        </w:rPr>
        <w:t>. Así fue entonces, y así sigue siendo ahora”.</w:t>
      </w:r>
    </w:p>
    <w:p w14:paraId="1D53C7BB" w14:textId="77777777" w:rsidR="00C948CB" w:rsidRDefault="00C948CB">
      <w:pPr>
        <w:pStyle w:val="Standard"/>
        <w:spacing w:line="360" w:lineRule="auto"/>
        <w:rPr>
          <w:rFonts w:ascii="Arial" w:hAnsi="Arial" w:cs="Arial"/>
          <w:sz w:val="22"/>
          <w:szCs w:val="22"/>
        </w:rPr>
      </w:pPr>
    </w:p>
    <w:p w14:paraId="32220742" w14:textId="77777777" w:rsidR="00C948CB" w:rsidRDefault="00183971">
      <w:pPr>
        <w:pStyle w:val="Standard"/>
        <w:spacing w:line="360" w:lineRule="auto"/>
      </w:pPr>
      <w:r>
        <w:rPr>
          <w:rFonts w:ascii="Arial" w:hAnsi="Arial"/>
          <w:b/>
          <w:sz w:val="22"/>
        </w:rPr>
        <w:t>Un líder tecnológico en ECG</w:t>
      </w:r>
    </w:p>
    <w:p w14:paraId="5E7D3CE7" w14:textId="77777777" w:rsidR="00C948CB" w:rsidRDefault="00183971">
      <w:pPr>
        <w:pStyle w:val="Standard"/>
        <w:spacing w:line="360" w:lineRule="auto"/>
      </w:pPr>
      <w:proofErr w:type="spellStart"/>
      <w:r>
        <w:rPr>
          <w:rFonts w:ascii="Arial" w:hAnsi="Arial"/>
          <w:sz w:val="22"/>
        </w:rPr>
        <w:t>Cromograf</w:t>
      </w:r>
      <w:proofErr w:type="spellEnd"/>
      <w:r>
        <w:rPr>
          <w:rFonts w:ascii="Arial" w:hAnsi="Arial"/>
          <w:sz w:val="22"/>
        </w:rPr>
        <w:t xml:space="preserve"> instaló el primer FLEXCEL NX </w:t>
      </w:r>
      <w:proofErr w:type="spellStart"/>
      <w:r>
        <w:rPr>
          <w:rFonts w:ascii="Arial" w:hAnsi="Arial"/>
          <w:sz w:val="22"/>
        </w:rPr>
        <w:t>Mid</w:t>
      </w:r>
      <w:proofErr w:type="spellEnd"/>
      <w:r>
        <w:rPr>
          <w:rFonts w:ascii="Arial" w:hAnsi="Arial"/>
          <w:sz w:val="22"/>
        </w:rPr>
        <w:t xml:space="preserve"> en América Latina en 2008, y pocos meses después comenzó a experimentar con la impresión con gama ampliada de colores (ECG); un </w:t>
      </w:r>
      <w:r>
        <w:rPr>
          <w:rFonts w:ascii="Arial" w:hAnsi="Arial"/>
          <w:sz w:val="22"/>
        </w:rPr>
        <w:lastRenderedPageBreak/>
        <w:t xml:space="preserve">proceso en el cual, 14 años más tarde, se reconoce a </w:t>
      </w:r>
      <w:proofErr w:type="spellStart"/>
      <w:r>
        <w:rPr>
          <w:rFonts w:ascii="Arial" w:hAnsi="Arial"/>
          <w:sz w:val="22"/>
        </w:rPr>
        <w:t>Cromograf</w:t>
      </w:r>
      <w:proofErr w:type="spellEnd"/>
      <w:r>
        <w:rPr>
          <w:rFonts w:ascii="Arial" w:hAnsi="Arial"/>
          <w:sz w:val="22"/>
        </w:rPr>
        <w:t xml:space="preserve"> como un líder tecnológico en América Latina y más allá.</w:t>
      </w:r>
    </w:p>
    <w:p w14:paraId="0596402A" w14:textId="77777777" w:rsidR="00C948CB" w:rsidRDefault="00C948CB">
      <w:pPr>
        <w:pStyle w:val="Standard"/>
        <w:spacing w:line="360" w:lineRule="auto"/>
        <w:rPr>
          <w:rFonts w:ascii="Arial" w:hAnsi="Arial" w:cs="Arial"/>
          <w:sz w:val="22"/>
          <w:szCs w:val="22"/>
        </w:rPr>
      </w:pPr>
    </w:p>
    <w:p w14:paraId="7028415A" w14:textId="77777777" w:rsidR="00C948CB" w:rsidRDefault="00183971">
      <w:pPr>
        <w:pStyle w:val="Standard"/>
        <w:spacing w:line="360" w:lineRule="auto"/>
      </w:pPr>
      <w:r>
        <w:rPr>
          <w:rFonts w:ascii="Arial" w:hAnsi="Arial"/>
          <w:sz w:val="22"/>
        </w:rPr>
        <w:t xml:space="preserve">La ECG es la base de la política de sostenibilidad de </w:t>
      </w:r>
      <w:proofErr w:type="spellStart"/>
      <w:r>
        <w:rPr>
          <w:rFonts w:ascii="Arial" w:hAnsi="Arial"/>
          <w:sz w:val="22"/>
        </w:rPr>
        <w:t>Cromograf</w:t>
      </w:r>
      <w:proofErr w:type="spellEnd"/>
      <w:r>
        <w:rPr>
          <w:rFonts w:ascii="Arial" w:hAnsi="Arial"/>
          <w:sz w:val="22"/>
        </w:rPr>
        <w:t>, explica Alejandra, debido a los ahorros y eficiencias que son inherentes a la idea básica de imprimir usando la mayor cantidad posible de juegos de tintas CMYK fijos. “La ECG utiliza menos planchas, menor cantidad de tintas especiales y reduce el desperdicio de sustratos durante la preparación del trabajo. Además, y esto es muy importante para los propietarios de marcas, un juego de tintas estándar significa que podemos hacer varios trabajos de impresión simultáneamente. Esto facilita satisfacer las cantidades de pedidos mínimos de los convertidores a pesar de que soliciten volúmenes más pequeños, lo que ayuda a probar nuevas ideas de empaques en el mercado”.</w:t>
      </w:r>
    </w:p>
    <w:p w14:paraId="53601F71" w14:textId="77777777" w:rsidR="00C948CB" w:rsidRDefault="00C948CB">
      <w:pPr>
        <w:pStyle w:val="Standard"/>
        <w:spacing w:line="360" w:lineRule="auto"/>
        <w:rPr>
          <w:rFonts w:ascii="Arial" w:hAnsi="Arial" w:cs="Arial"/>
          <w:sz w:val="22"/>
          <w:szCs w:val="22"/>
        </w:rPr>
      </w:pPr>
    </w:p>
    <w:p w14:paraId="29A314BC" w14:textId="057A044A" w:rsidR="00C948CB" w:rsidRDefault="00183971">
      <w:pPr>
        <w:pStyle w:val="Standard"/>
        <w:spacing w:line="360" w:lineRule="auto"/>
      </w:pPr>
      <w:r>
        <w:rPr>
          <w:rFonts w:ascii="Arial" w:hAnsi="Arial"/>
          <w:sz w:val="22"/>
        </w:rPr>
        <w:t xml:space="preserve">Nada de esto, agrega Alejandra, sería posible sin FLEXCEL NX </w:t>
      </w:r>
      <w:proofErr w:type="spellStart"/>
      <w:r>
        <w:rPr>
          <w:rFonts w:ascii="Arial" w:hAnsi="Arial"/>
          <w:sz w:val="22"/>
        </w:rPr>
        <w:t>Technology</w:t>
      </w:r>
      <w:proofErr w:type="spellEnd"/>
      <w:r>
        <w:rPr>
          <w:rFonts w:ascii="Arial" w:hAnsi="Arial"/>
          <w:sz w:val="22"/>
        </w:rPr>
        <w:t xml:space="preserve">. “El concepto básico de ECG es eliminar las variables que pueden afectar la productividad y la sostenibilidad. FLEXCEL NX </w:t>
      </w:r>
      <w:proofErr w:type="spellStart"/>
      <w:r>
        <w:rPr>
          <w:rFonts w:ascii="Arial" w:hAnsi="Arial"/>
          <w:sz w:val="22"/>
        </w:rPr>
        <w:t>Technology</w:t>
      </w:r>
      <w:proofErr w:type="spellEnd"/>
      <w:r>
        <w:rPr>
          <w:rFonts w:ascii="Arial" w:hAnsi="Arial"/>
          <w:sz w:val="22"/>
        </w:rPr>
        <w:t xml:space="preserve"> permite estandarizar la producción para lograr resultados uniformes y predecibles. Es una tecnología de planchas excepcional que ofrece alta productividad y estabilidad del proceso. La reproducción de puntos permanece estable después de la impresión, lo que nos proporciona consistencia y una mayor vida útil de las planchas, y menos interrupciones no programadas para la limpieza de la prensa”.</w:t>
      </w:r>
    </w:p>
    <w:p w14:paraId="705F2C3D" w14:textId="77777777" w:rsidR="00C948CB" w:rsidRDefault="00C948CB">
      <w:pPr>
        <w:pStyle w:val="Standard"/>
        <w:spacing w:line="360" w:lineRule="auto"/>
        <w:rPr>
          <w:rFonts w:ascii="Arial" w:hAnsi="Arial" w:cs="Arial"/>
          <w:sz w:val="22"/>
          <w:szCs w:val="22"/>
        </w:rPr>
      </w:pPr>
    </w:p>
    <w:p w14:paraId="0E3105FE" w14:textId="77777777" w:rsidR="00C948CB" w:rsidRDefault="00183971">
      <w:pPr>
        <w:pStyle w:val="Standard"/>
        <w:spacing w:line="360" w:lineRule="auto"/>
      </w:pPr>
      <w:r>
        <w:rPr>
          <w:rFonts w:ascii="Arial" w:hAnsi="Arial"/>
          <w:b/>
          <w:sz w:val="22"/>
        </w:rPr>
        <w:t xml:space="preserve">Reconocimiento Gold </w:t>
      </w:r>
      <w:proofErr w:type="spellStart"/>
      <w:r>
        <w:rPr>
          <w:rFonts w:ascii="Arial" w:hAnsi="Arial"/>
          <w:b/>
          <w:sz w:val="22"/>
        </w:rPr>
        <w:t>Award</w:t>
      </w:r>
      <w:proofErr w:type="spellEnd"/>
    </w:p>
    <w:p w14:paraId="09BF8F0F" w14:textId="77777777" w:rsidR="00C948CB" w:rsidRDefault="00183971">
      <w:pPr>
        <w:pStyle w:val="Standard"/>
        <w:spacing w:line="360" w:lineRule="auto"/>
      </w:pPr>
      <w:r>
        <w:rPr>
          <w:rFonts w:ascii="Arial" w:hAnsi="Arial"/>
          <w:sz w:val="22"/>
        </w:rPr>
        <w:t xml:space="preserve">Los logros de la empresa ahora se han visto recompensados con un Gold </w:t>
      </w:r>
      <w:proofErr w:type="spellStart"/>
      <w:r>
        <w:rPr>
          <w:rFonts w:ascii="Arial" w:hAnsi="Arial"/>
          <w:sz w:val="22"/>
        </w:rPr>
        <w:t>Award</w:t>
      </w:r>
      <w:proofErr w:type="spellEnd"/>
      <w:r>
        <w:rPr>
          <w:rFonts w:ascii="Arial" w:hAnsi="Arial"/>
          <w:sz w:val="22"/>
        </w:rPr>
        <w:t xml:space="preserve"> en los Global Flexo </w:t>
      </w:r>
      <w:proofErr w:type="spellStart"/>
      <w:r>
        <w:rPr>
          <w:rFonts w:ascii="Arial" w:hAnsi="Arial"/>
          <w:sz w:val="22"/>
        </w:rPr>
        <w:t>Innovation</w:t>
      </w:r>
      <w:proofErr w:type="spellEnd"/>
      <w:r>
        <w:rPr>
          <w:rFonts w:ascii="Arial" w:hAnsi="Arial"/>
          <w:sz w:val="22"/>
        </w:rPr>
        <w:t xml:space="preserve"> </w:t>
      </w:r>
      <w:proofErr w:type="spellStart"/>
      <w:r>
        <w:rPr>
          <w:rFonts w:ascii="Arial" w:hAnsi="Arial"/>
          <w:sz w:val="22"/>
        </w:rPr>
        <w:t>Awards</w:t>
      </w:r>
      <w:proofErr w:type="spellEnd"/>
      <w:r>
        <w:rPr>
          <w:rFonts w:ascii="Arial" w:hAnsi="Arial"/>
          <w:sz w:val="22"/>
        </w:rPr>
        <w:t xml:space="preserve"> (GFIA) patrocinados por Miraclon, otorgado por excelencia en </w:t>
      </w:r>
      <w:proofErr w:type="spellStart"/>
      <w:r>
        <w:rPr>
          <w:rFonts w:ascii="Arial" w:hAnsi="Arial"/>
          <w:sz w:val="22"/>
        </w:rPr>
        <w:t>Print</w:t>
      </w:r>
      <w:proofErr w:type="spellEnd"/>
      <w:r>
        <w:rPr>
          <w:rFonts w:ascii="Arial" w:hAnsi="Arial"/>
          <w:sz w:val="22"/>
        </w:rPr>
        <w:t xml:space="preserve"> </w:t>
      </w:r>
      <w:proofErr w:type="spellStart"/>
      <w:r>
        <w:rPr>
          <w:rFonts w:ascii="Arial" w:hAnsi="Arial"/>
          <w:sz w:val="22"/>
        </w:rPr>
        <w:t>Production</w:t>
      </w:r>
      <w:proofErr w:type="spellEnd"/>
      <w:r>
        <w:rPr>
          <w:rFonts w:ascii="Arial" w:hAnsi="Arial"/>
          <w:sz w:val="22"/>
        </w:rPr>
        <w:t xml:space="preserve"> </w:t>
      </w:r>
      <w:proofErr w:type="spellStart"/>
      <w:r>
        <w:rPr>
          <w:rFonts w:ascii="Arial" w:hAnsi="Arial"/>
          <w:sz w:val="22"/>
        </w:rPr>
        <w:t>Workflow</w:t>
      </w:r>
      <w:proofErr w:type="spellEnd"/>
      <w:r>
        <w:rPr>
          <w:rFonts w:ascii="Arial" w:hAnsi="Arial"/>
          <w:sz w:val="22"/>
        </w:rPr>
        <w:t xml:space="preserve"> (Flujo de trabajo de producción de impresión), </w:t>
      </w:r>
      <w:proofErr w:type="spellStart"/>
      <w:r>
        <w:rPr>
          <w:rFonts w:ascii="Arial" w:hAnsi="Arial"/>
          <w:sz w:val="22"/>
        </w:rPr>
        <w:t>Commitment</w:t>
      </w:r>
      <w:proofErr w:type="spellEnd"/>
      <w:r>
        <w:rPr>
          <w:rFonts w:ascii="Arial" w:hAnsi="Arial"/>
          <w:sz w:val="22"/>
        </w:rPr>
        <w:t xml:space="preserve"> </w:t>
      </w:r>
      <w:proofErr w:type="spellStart"/>
      <w:r>
        <w:rPr>
          <w:rFonts w:ascii="Arial" w:hAnsi="Arial"/>
          <w:sz w:val="22"/>
        </w:rPr>
        <w:t>to</w:t>
      </w:r>
      <w:proofErr w:type="spellEnd"/>
      <w:r>
        <w:rPr>
          <w:rFonts w:ascii="Arial" w:hAnsi="Arial"/>
          <w:sz w:val="22"/>
        </w:rPr>
        <w:t xml:space="preserve"> </w:t>
      </w:r>
      <w:proofErr w:type="spellStart"/>
      <w:r>
        <w:rPr>
          <w:rFonts w:ascii="Arial" w:hAnsi="Arial"/>
          <w:sz w:val="22"/>
        </w:rPr>
        <w:t>Sustainable</w:t>
      </w:r>
      <w:proofErr w:type="spellEnd"/>
      <w:r>
        <w:rPr>
          <w:rFonts w:ascii="Arial" w:hAnsi="Arial"/>
          <w:sz w:val="22"/>
        </w:rPr>
        <w:t xml:space="preserve"> </w:t>
      </w:r>
      <w:proofErr w:type="spellStart"/>
      <w:r>
        <w:rPr>
          <w:rFonts w:ascii="Arial" w:hAnsi="Arial"/>
          <w:sz w:val="22"/>
        </w:rPr>
        <w:t>Print</w:t>
      </w:r>
      <w:proofErr w:type="spellEnd"/>
      <w:r>
        <w:rPr>
          <w:rFonts w:ascii="Arial" w:hAnsi="Arial"/>
          <w:sz w:val="22"/>
        </w:rPr>
        <w:t xml:space="preserve"> (Compromiso con la impresión sostenible) y Creative Use </w:t>
      </w:r>
      <w:proofErr w:type="spellStart"/>
      <w:r>
        <w:rPr>
          <w:rFonts w:ascii="Arial" w:hAnsi="Arial"/>
          <w:sz w:val="22"/>
        </w:rPr>
        <w:t>of</w:t>
      </w:r>
      <w:proofErr w:type="spellEnd"/>
      <w:r>
        <w:rPr>
          <w:rFonts w:ascii="Arial" w:hAnsi="Arial"/>
          <w:sz w:val="22"/>
        </w:rPr>
        <w:t xml:space="preserve"> </w:t>
      </w:r>
      <w:proofErr w:type="spellStart"/>
      <w:r>
        <w:rPr>
          <w:rFonts w:ascii="Arial" w:hAnsi="Arial"/>
          <w:sz w:val="22"/>
        </w:rPr>
        <w:t>Graphic</w:t>
      </w:r>
      <w:proofErr w:type="spellEnd"/>
      <w:r>
        <w:rPr>
          <w:rFonts w:ascii="Arial" w:hAnsi="Arial"/>
          <w:sz w:val="22"/>
        </w:rPr>
        <w:t xml:space="preserve"> </w:t>
      </w:r>
      <w:proofErr w:type="spellStart"/>
      <w:r>
        <w:rPr>
          <w:rFonts w:ascii="Arial" w:hAnsi="Arial"/>
          <w:sz w:val="22"/>
        </w:rPr>
        <w:t>Design</w:t>
      </w:r>
      <w:proofErr w:type="spellEnd"/>
      <w:r>
        <w:rPr>
          <w:rFonts w:ascii="Arial" w:hAnsi="Arial"/>
          <w:sz w:val="22"/>
        </w:rPr>
        <w:t xml:space="preserve"> (Uso creativo del diseño gráfico).</w:t>
      </w:r>
    </w:p>
    <w:p w14:paraId="14DFE541" w14:textId="77777777" w:rsidR="00C948CB" w:rsidRDefault="00C948CB">
      <w:pPr>
        <w:pStyle w:val="Standard"/>
        <w:spacing w:line="360" w:lineRule="auto"/>
        <w:rPr>
          <w:rFonts w:ascii="Arial" w:hAnsi="Arial" w:cs="Arial"/>
          <w:sz w:val="22"/>
          <w:szCs w:val="22"/>
        </w:rPr>
      </w:pPr>
    </w:p>
    <w:p w14:paraId="6C6AA7EE" w14:textId="77777777" w:rsidR="00C948CB" w:rsidRDefault="00183971">
      <w:pPr>
        <w:pStyle w:val="Standard"/>
        <w:spacing w:line="360" w:lineRule="auto"/>
      </w:pPr>
      <w:r>
        <w:rPr>
          <w:rFonts w:ascii="Arial" w:hAnsi="Arial"/>
          <w:sz w:val="22"/>
        </w:rPr>
        <w:t xml:space="preserve">Para Alejandra, el Global Flexo </w:t>
      </w:r>
      <w:proofErr w:type="spellStart"/>
      <w:r>
        <w:rPr>
          <w:rFonts w:ascii="Arial" w:hAnsi="Arial"/>
          <w:sz w:val="22"/>
        </w:rPr>
        <w:t>Innovation</w:t>
      </w:r>
      <w:proofErr w:type="spellEnd"/>
      <w:r>
        <w:rPr>
          <w:rFonts w:ascii="Arial" w:hAnsi="Arial"/>
          <w:sz w:val="22"/>
        </w:rPr>
        <w:t xml:space="preserve"> </w:t>
      </w:r>
      <w:proofErr w:type="spellStart"/>
      <w:r>
        <w:rPr>
          <w:rFonts w:ascii="Arial" w:hAnsi="Arial"/>
          <w:sz w:val="22"/>
        </w:rPr>
        <w:t>Award</w:t>
      </w:r>
      <w:proofErr w:type="spellEnd"/>
      <w:r>
        <w:rPr>
          <w:rFonts w:ascii="Arial" w:hAnsi="Arial"/>
          <w:sz w:val="22"/>
        </w:rPr>
        <w:t xml:space="preserve"> es un reconocimiento bienvenido a su estrategia de trabajo que comenzó con su padre y continúa bajo su gestión. “Hemos estado imprimiendo con CMYK y ECG desde 2008, y nos sentimos orgullosos de la calidad de nuestra producción. La diferencia hoy es que la gente está tomando nota”.</w:t>
      </w:r>
    </w:p>
    <w:p w14:paraId="52B953F0" w14:textId="77777777" w:rsidR="00C948CB" w:rsidRDefault="00C948CB">
      <w:pPr>
        <w:pStyle w:val="Standard"/>
        <w:spacing w:line="360" w:lineRule="auto"/>
        <w:rPr>
          <w:rFonts w:ascii="Arial" w:hAnsi="Arial" w:cs="Arial"/>
          <w:sz w:val="22"/>
          <w:szCs w:val="22"/>
        </w:rPr>
      </w:pPr>
    </w:p>
    <w:p w14:paraId="2AD60F68" w14:textId="77777777" w:rsidR="00C948CB" w:rsidRDefault="00183971">
      <w:pPr>
        <w:pStyle w:val="Standard"/>
        <w:spacing w:line="360" w:lineRule="auto"/>
      </w:pPr>
      <w:r>
        <w:rPr>
          <w:rFonts w:ascii="Arial" w:hAnsi="Arial"/>
          <w:sz w:val="22"/>
        </w:rPr>
        <w:t xml:space="preserve">Junto con quien ha sido su cliente convertidor durante más de 30 años, </w:t>
      </w:r>
      <w:proofErr w:type="spellStart"/>
      <w:r>
        <w:rPr>
          <w:rFonts w:ascii="Arial" w:hAnsi="Arial"/>
          <w:sz w:val="22"/>
        </w:rPr>
        <w:t>Strong</w:t>
      </w:r>
      <w:proofErr w:type="spellEnd"/>
      <w:r>
        <w:rPr>
          <w:rFonts w:ascii="Arial" w:hAnsi="Arial"/>
          <w:sz w:val="22"/>
        </w:rPr>
        <w:t xml:space="preserve"> S.A., </w:t>
      </w:r>
      <w:proofErr w:type="spellStart"/>
      <w:r>
        <w:rPr>
          <w:rFonts w:ascii="Arial" w:hAnsi="Arial"/>
          <w:sz w:val="22"/>
        </w:rPr>
        <w:t>Cromograf</w:t>
      </w:r>
      <w:proofErr w:type="spellEnd"/>
      <w:r>
        <w:rPr>
          <w:rFonts w:ascii="Arial" w:hAnsi="Arial"/>
          <w:sz w:val="22"/>
        </w:rPr>
        <w:t xml:space="preserve"> presentó una serie de trabajos de empaques, acompañados por un nivel de detalle </w:t>
      </w:r>
      <w:r>
        <w:rPr>
          <w:rFonts w:ascii="Arial" w:hAnsi="Arial"/>
          <w:sz w:val="22"/>
        </w:rPr>
        <w:lastRenderedPageBreak/>
        <w:t>que impresionó al panel de jueces al demostrar claramente los ahorros y beneficios ofrecidos por ECG. Por ejemplo, la obra ganadora, empaques flexibles para distintas variedades de arroz saborizado, logró ahorros notables al usar ECG en lugar del proceso de producción previo:</w:t>
      </w:r>
    </w:p>
    <w:p w14:paraId="7119CDDD" w14:textId="77777777" w:rsidR="00C948CB" w:rsidRDefault="00183971">
      <w:pPr>
        <w:pStyle w:val="ListParagraph"/>
        <w:numPr>
          <w:ilvl w:val="0"/>
          <w:numId w:val="29"/>
        </w:numPr>
        <w:spacing w:line="360" w:lineRule="auto"/>
      </w:pPr>
      <w:r>
        <w:rPr>
          <w:rFonts w:ascii="Arial" w:hAnsi="Arial"/>
          <w:sz w:val="22"/>
        </w:rPr>
        <w:t>0 tintas especiales (comparadas con el uso de 15 CMYK + tintas especiales)</w:t>
      </w:r>
    </w:p>
    <w:p w14:paraId="05FB8343" w14:textId="77777777" w:rsidR="00C948CB" w:rsidRDefault="00183971">
      <w:pPr>
        <w:pStyle w:val="ListParagraph"/>
        <w:numPr>
          <w:ilvl w:val="0"/>
          <w:numId w:val="28"/>
        </w:numPr>
        <w:spacing w:line="360" w:lineRule="auto"/>
      </w:pPr>
      <w:r>
        <w:rPr>
          <w:rFonts w:ascii="Arial" w:hAnsi="Arial"/>
          <w:sz w:val="22"/>
        </w:rPr>
        <w:t>28 planchas (comparadas con 49)</w:t>
      </w:r>
    </w:p>
    <w:p w14:paraId="1CE74B14" w14:textId="77777777" w:rsidR="00C948CB" w:rsidRDefault="00183971">
      <w:pPr>
        <w:pStyle w:val="ListParagraph"/>
        <w:numPr>
          <w:ilvl w:val="0"/>
          <w:numId w:val="28"/>
        </w:numPr>
        <w:spacing w:line="360" w:lineRule="auto"/>
      </w:pPr>
      <w:r>
        <w:rPr>
          <w:rFonts w:ascii="Arial" w:hAnsi="Arial"/>
          <w:sz w:val="22"/>
        </w:rPr>
        <w:t>28 cintas de montaje (comparadas con 49)</w:t>
      </w:r>
    </w:p>
    <w:p w14:paraId="7037F868" w14:textId="77777777" w:rsidR="00C948CB" w:rsidRDefault="00183971">
      <w:pPr>
        <w:pStyle w:val="ListParagraph"/>
        <w:numPr>
          <w:ilvl w:val="0"/>
          <w:numId w:val="28"/>
        </w:numPr>
        <w:spacing w:line="360" w:lineRule="auto"/>
      </w:pPr>
      <w:r>
        <w:rPr>
          <w:rFonts w:ascii="Arial" w:hAnsi="Arial"/>
          <w:sz w:val="22"/>
        </w:rPr>
        <w:t>28 lavados (comparados con 49)</w:t>
      </w:r>
    </w:p>
    <w:p w14:paraId="2E41AC30" w14:textId="77777777" w:rsidR="00C948CB" w:rsidRDefault="00C948CB">
      <w:pPr>
        <w:pStyle w:val="Standard"/>
        <w:spacing w:line="360" w:lineRule="auto"/>
        <w:rPr>
          <w:rFonts w:ascii="Arial" w:hAnsi="Arial" w:cs="Arial"/>
          <w:sz w:val="22"/>
          <w:szCs w:val="22"/>
        </w:rPr>
      </w:pPr>
    </w:p>
    <w:p w14:paraId="28777166" w14:textId="77777777" w:rsidR="00C948CB" w:rsidRDefault="00183971">
      <w:pPr>
        <w:pStyle w:val="Standard"/>
        <w:spacing w:line="360" w:lineRule="auto"/>
      </w:pPr>
      <w:r>
        <w:rPr>
          <w:rFonts w:ascii="Arial" w:hAnsi="Arial"/>
          <w:sz w:val="22"/>
        </w:rPr>
        <w:t xml:space="preserve">Niveles similares de ahorros se vieron en cada uno de los trabajos de </w:t>
      </w:r>
      <w:proofErr w:type="spellStart"/>
      <w:r>
        <w:rPr>
          <w:rFonts w:ascii="Arial" w:hAnsi="Arial"/>
          <w:sz w:val="22"/>
        </w:rPr>
        <w:t>Cromograf</w:t>
      </w:r>
      <w:proofErr w:type="spellEnd"/>
      <w:r>
        <w:rPr>
          <w:rFonts w:ascii="Arial" w:hAnsi="Arial"/>
          <w:sz w:val="22"/>
        </w:rPr>
        <w:t xml:space="preserve">, que incluye un trabajo en el que </w:t>
      </w:r>
      <w:proofErr w:type="spellStart"/>
      <w:r>
        <w:rPr>
          <w:rFonts w:ascii="Arial" w:hAnsi="Arial"/>
          <w:sz w:val="22"/>
        </w:rPr>
        <w:t>Cromograf</w:t>
      </w:r>
      <w:proofErr w:type="spellEnd"/>
      <w:r>
        <w:rPr>
          <w:rFonts w:ascii="Arial" w:hAnsi="Arial"/>
          <w:sz w:val="22"/>
        </w:rPr>
        <w:t xml:space="preserve"> ahorró 10,8 kg de tinta roja. Sume esto al menor uso de cintas de montaje y solventes de limpieza, menos tiempo en la preparación de cada trabajo y espacio de almacenamiento reducido para las tintas y planchas y verá una rápida acumulación de ahorros.</w:t>
      </w:r>
    </w:p>
    <w:p w14:paraId="0946263B" w14:textId="77777777" w:rsidR="00C948CB" w:rsidRDefault="00C948CB">
      <w:pPr>
        <w:pStyle w:val="Standard"/>
        <w:spacing w:line="360" w:lineRule="auto"/>
        <w:rPr>
          <w:rFonts w:ascii="Arial" w:hAnsi="Arial" w:cs="Arial"/>
          <w:sz w:val="22"/>
          <w:szCs w:val="22"/>
        </w:rPr>
      </w:pPr>
    </w:p>
    <w:p w14:paraId="6335668B" w14:textId="77777777" w:rsidR="00C948CB" w:rsidRDefault="00183971">
      <w:pPr>
        <w:pStyle w:val="Standard"/>
        <w:spacing w:line="360" w:lineRule="auto"/>
      </w:pPr>
      <w:r>
        <w:rPr>
          <w:rFonts w:ascii="Arial" w:hAnsi="Arial"/>
          <w:b/>
          <w:sz w:val="22"/>
        </w:rPr>
        <w:t>La estrategia aplicada a los nuevos proyectos impresiona a los jueces</w:t>
      </w:r>
    </w:p>
    <w:p w14:paraId="12ABDCC8" w14:textId="77777777" w:rsidR="00C948CB" w:rsidRDefault="00183971">
      <w:pPr>
        <w:pStyle w:val="Standard"/>
        <w:spacing w:line="360" w:lineRule="auto"/>
      </w:pPr>
      <w:r>
        <w:rPr>
          <w:rFonts w:ascii="Arial" w:hAnsi="Arial"/>
          <w:sz w:val="22"/>
        </w:rPr>
        <w:t xml:space="preserve">Los jueces del GFIA también quedaron impresionados por la estrategia que usa </w:t>
      </w:r>
      <w:proofErr w:type="spellStart"/>
      <w:r>
        <w:rPr>
          <w:rFonts w:ascii="Arial" w:hAnsi="Arial"/>
          <w:sz w:val="22"/>
        </w:rPr>
        <w:t>Cromograf</w:t>
      </w:r>
      <w:proofErr w:type="spellEnd"/>
      <w:r>
        <w:rPr>
          <w:rFonts w:ascii="Arial" w:hAnsi="Arial"/>
          <w:sz w:val="22"/>
        </w:rPr>
        <w:t xml:space="preserve"> para encarar cada proyecto nuevo de empaque con el fin de decidir cómo aplicar mejor la ECG. Dr. Chip </w:t>
      </w:r>
      <w:proofErr w:type="spellStart"/>
      <w:r>
        <w:rPr>
          <w:rFonts w:ascii="Arial" w:hAnsi="Arial"/>
          <w:sz w:val="22"/>
        </w:rPr>
        <w:t>Tonkin</w:t>
      </w:r>
      <w:proofErr w:type="spellEnd"/>
      <w:r>
        <w:rPr>
          <w:rFonts w:ascii="Arial" w:hAnsi="Arial"/>
          <w:sz w:val="22"/>
        </w:rPr>
        <w:t xml:space="preserve">, del Instituto </w:t>
      </w:r>
      <w:proofErr w:type="spellStart"/>
      <w:r>
        <w:rPr>
          <w:rFonts w:ascii="Arial" w:hAnsi="Arial"/>
          <w:sz w:val="22"/>
        </w:rPr>
        <w:t>Sonoco</w:t>
      </w:r>
      <w:proofErr w:type="spellEnd"/>
      <w:r>
        <w:rPr>
          <w:rFonts w:ascii="Arial" w:hAnsi="Arial"/>
          <w:sz w:val="22"/>
        </w:rPr>
        <w:t xml:space="preserve"> de Diseño de Empaques y Gráficos, observó: “Analizan en profundidad cada trabajo entrante para determinar si necesita algo más allá de CMYK, y toman medidas extremas para hacer la vasta mayoría de los trabajos dentro del modelo CMYK. La mayoría de los colores se pueden lograr, en particular cuando optimiza su modelo de CMYK”.</w:t>
      </w:r>
    </w:p>
    <w:p w14:paraId="6641A8EA" w14:textId="77777777" w:rsidR="00C948CB" w:rsidRDefault="00C948CB">
      <w:pPr>
        <w:pStyle w:val="Standard"/>
        <w:spacing w:line="360" w:lineRule="auto"/>
        <w:rPr>
          <w:rFonts w:ascii="Arial" w:hAnsi="Arial" w:cs="Arial"/>
          <w:sz w:val="22"/>
          <w:szCs w:val="22"/>
        </w:rPr>
      </w:pPr>
    </w:p>
    <w:p w14:paraId="7FFA050D" w14:textId="77777777" w:rsidR="00C948CB" w:rsidRDefault="00183971">
      <w:pPr>
        <w:pStyle w:val="Standard"/>
        <w:spacing w:line="360" w:lineRule="auto"/>
      </w:pPr>
      <w:r>
        <w:rPr>
          <w:rFonts w:ascii="Arial" w:hAnsi="Arial"/>
          <w:sz w:val="22"/>
        </w:rPr>
        <w:t>Alejandra sostiene: “La cadena de valor de los empaques comienza con una idea y termina cuando está en manos del consumidor. En el camino, consideramos el aporte de cada recurso y controlamos cada etapa del proceso con el objetivo de lograr un producto estable con una mínima huella de carbono”.</w:t>
      </w:r>
    </w:p>
    <w:p w14:paraId="35A0C114" w14:textId="77777777" w:rsidR="00C948CB" w:rsidRDefault="00C948CB">
      <w:pPr>
        <w:pStyle w:val="Standard"/>
        <w:spacing w:line="360" w:lineRule="auto"/>
        <w:rPr>
          <w:rFonts w:ascii="Arial" w:hAnsi="Arial" w:cs="Arial"/>
          <w:sz w:val="22"/>
          <w:szCs w:val="22"/>
        </w:rPr>
      </w:pPr>
    </w:p>
    <w:p w14:paraId="731BF1C2" w14:textId="77777777" w:rsidR="00C948CB" w:rsidRDefault="00183971">
      <w:pPr>
        <w:pStyle w:val="Standard"/>
        <w:spacing w:line="360" w:lineRule="auto"/>
      </w:pPr>
      <w:bookmarkStart w:id="0" w:name="_Hlk116631379"/>
      <w:r>
        <w:rPr>
          <w:rFonts w:ascii="Arial" w:hAnsi="Arial"/>
          <w:sz w:val="22"/>
        </w:rPr>
        <w:t xml:space="preserve">El análisis comienza con una charla inicial con el equipo de diseño, e inmediatamente entra en juego la amplia experiencia de </w:t>
      </w:r>
      <w:proofErr w:type="spellStart"/>
      <w:r>
        <w:rPr>
          <w:rFonts w:ascii="Arial" w:hAnsi="Arial"/>
          <w:sz w:val="22"/>
        </w:rPr>
        <w:t>Cromograf</w:t>
      </w:r>
      <w:proofErr w:type="spellEnd"/>
      <w:r>
        <w:rPr>
          <w:rFonts w:ascii="Arial" w:hAnsi="Arial"/>
          <w:sz w:val="22"/>
        </w:rPr>
        <w:t xml:space="preserve">. Alejandra explica: “La forma en que gestionamos el color, los medios y las tintas significa que nos damos cuenta de inmediato qué colores funcionan mejor con la ECG y podemos mostrar cómo pequeñas modificaciones en el diseño pueden cosechar importantes beneficios de eficiencia y sostenibilidad”. (Como un ejemplo de esta atención a los detalles, en uno de los trabajos que presentó en los GFIA, </w:t>
      </w:r>
      <w:proofErr w:type="spellStart"/>
      <w:r>
        <w:rPr>
          <w:rFonts w:ascii="Arial" w:hAnsi="Arial"/>
          <w:sz w:val="22"/>
        </w:rPr>
        <w:t>Cromograf</w:t>
      </w:r>
      <w:proofErr w:type="spellEnd"/>
      <w:r>
        <w:rPr>
          <w:rFonts w:ascii="Arial" w:hAnsi="Arial"/>
          <w:sz w:val="22"/>
        </w:rPr>
        <w:t xml:space="preserve"> </w:t>
      </w:r>
      <w:r>
        <w:rPr>
          <w:rFonts w:ascii="Arial" w:hAnsi="Arial"/>
          <w:sz w:val="22"/>
        </w:rPr>
        <w:lastRenderedPageBreak/>
        <w:t xml:space="preserve">colocó las marcas de cortes y los objetivos de control del proceso </w:t>
      </w:r>
      <w:r>
        <w:rPr>
          <w:rFonts w:ascii="Arial" w:hAnsi="Arial"/>
          <w:i/>
          <w:sz w:val="22"/>
        </w:rPr>
        <w:t>dentro del trabajo</w:t>
      </w:r>
      <w:r>
        <w:rPr>
          <w:rFonts w:ascii="Arial" w:hAnsi="Arial"/>
          <w:sz w:val="22"/>
        </w:rPr>
        <w:t>, logrando un 1 % de ahorro de medios, lo que, como notaron los jueces, se sumó a las cifras importantes en la ejecución total de la producción).</w:t>
      </w:r>
    </w:p>
    <w:bookmarkEnd w:id="0"/>
    <w:p w14:paraId="121682FC" w14:textId="77777777" w:rsidR="00C948CB" w:rsidRDefault="00C948CB">
      <w:pPr>
        <w:pStyle w:val="Standard"/>
        <w:spacing w:line="360" w:lineRule="auto"/>
        <w:rPr>
          <w:rFonts w:ascii="Arial" w:hAnsi="Arial" w:cs="Arial"/>
          <w:sz w:val="22"/>
          <w:szCs w:val="22"/>
        </w:rPr>
      </w:pPr>
    </w:p>
    <w:p w14:paraId="04ABB96B" w14:textId="77777777" w:rsidR="00C948CB" w:rsidRDefault="00183971">
      <w:pPr>
        <w:pStyle w:val="Standard"/>
        <w:spacing w:line="360" w:lineRule="auto"/>
      </w:pPr>
      <w:r>
        <w:rPr>
          <w:rFonts w:ascii="Arial" w:hAnsi="Arial"/>
          <w:sz w:val="22"/>
        </w:rPr>
        <w:t xml:space="preserve">Mientras terminamos nuestra charla, Alejandra reconoce también la contribución hecha por los equipos de Miraclon. “Es de gran ayuda trabajar con el mismo equipo de excelentes personas a lo largo de los años. Consideramos tanto a Miraclon como a nuestro distribuidor local, </w:t>
      </w:r>
      <w:proofErr w:type="spellStart"/>
      <w:r>
        <w:rPr>
          <w:rFonts w:ascii="Arial" w:hAnsi="Arial"/>
          <w:sz w:val="22"/>
        </w:rPr>
        <w:t>Lumila</w:t>
      </w:r>
      <w:proofErr w:type="spellEnd"/>
      <w:r>
        <w:rPr>
          <w:rFonts w:ascii="Arial" w:hAnsi="Arial"/>
          <w:sz w:val="22"/>
        </w:rPr>
        <w:t>, como una parte vital de nuestro negocio”.</w:t>
      </w:r>
    </w:p>
    <w:p w14:paraId="4AF4F65E" w14:textId="77777777" w:rsidR="00C948CB" w:rsidRDefault="00C948CB">
      <w:pPr>
        <w:pStyle w:val="Standard"/>
        <w:spacing w:line="360" w:lineRule="auto"/>
        <w:rPr>
          <w:rFonts w:ascii="Arial" w:hAnsi="Arial" w:cs="Arial"/>
          <w:sz w:val="22"/>
          <w:szCs w:val="22"/>
        </w:rPr>
      </w:pPr>
    </w:p>
    <w:p w14:paraId="329C4C57" w14:textId="77777777" w:rsidR="00C948CB" w:rsidRDefault="00183971">
      <w:pPr>
        <w:pStyle w:val="Standard"/>
        <w:spacing w:line="360" w:lineRule="auto"/>
        <w:jc w:val="center"/>
      </w:pPr>
      <w:r>
        <w:rPr>
          <w:rFonts w:ascii="Arial" w:hAnsi="Arial"/>
          <w:b/>
          <w:color w:val="000000"/>
          <w:sz w:val="22"/>
        </w:rPr>
        <w:t>FINES</w:t>
      </w:r>
    </w:p>
    <w:p w14:paraId="3129776E" w14:textId="77777777" w:rsidR="00C948CB" w:rsidRDefault="00C948CB">
      <w:pPr>
        <w:pStyle w:val="Standard"/>
        <w:spacing w:line="360" w:lineRule="auto"/>
        <w:jc w:val="center"/>
        <w:rPr>
          <w:rFonts w:ascii="Arial" w:hAnsi="Arial" w:cs="Arial"/>
          <w:b/>
          <w:bCs/>
          <w:sz w:val="22"/>
          <w:szCs w:val="22"/>
        </w:rPr>
      </w:pPr>
    </w:p>
    <w:p w14:paraId="1ED777ED" w14:textId="77777777" w:rsidR="00C948CB" w:rsidRPr="00C069FA" w:rsidRDefault="00183971">
      <w:pPr>
        <w:pStyle w:val="Standard"/>
        <w:rPr>
          <w:rFonts w:ascii="Arial" w:hAnsi="Arial" w:cs="Arial"/>
        </w:rPr>
      </w:pPr>
      <w:r w:rsidRPr="00C069FA">
        <w:rPr>
          <w:rFonts w:ascii="Arial" w:hAnsi="Arial" w:cs="Arial"/>
          <w:b/>
        </w:rPr>
        <w:t>Acerca de Miraclon</w:t>
      </w:r>
    </w:p>
    <w:p w14:paraId="4794C879" w14:textId="0B9FB7BD" w:rsidR="00C948CB" w:rsidRPr="00C069FA" w:rsidRDefault="00183971" w:rsidP="00D66166">
      <w:pPr>
        <w:pStyle w:val="Standard"/>
        <w:rPr>
          <w:rFonts w:ascii="Arial" w:hAnsi="Arial" w:cs="Arial"/>
        </w:rPr>
      </w:pPr>
      <w:r w:rsidRPr="00C069FA">
        <w:rPr>
          <w:rFonts w:ascii="Arial" w:hAnsi="Arial" w:cs="Arial"/>
        </w:rPr>
        <w:t xml:space="preserve">Miraclon es el hogar de KODAK FLEXCEL </w:t>
      </w:r>
      <w:proofErr w:type="spellStart"/>
      <w:r w:rsidRPr="00C069FA">
        <w:rPr>
          <w:rFonts w:ascii="Arial" w:hAnsi="Arial" w:cs="Arial"/>
        </w:rPr>
        <w:t>Solutions</w:t>
      </w:r>
      <w:proofErr w:type="spellEnd"/>
      <w:r w:rsidRPr="00C069FA">
        <w:rPr>
          <w:rFonts w:ascii="Arial" w:hAnsi="Arial" w:cs="Arial"/>
        </w:rPr>
        <w:t xml:space="preserve">, que ha ayudado a transformar la impresión flexográfica durante más de una década. La tecnología, incluidos los sistemas FLEXCEL NX y FLEXCEL NX Ultra líderes de la industria, así como FLEXCEL NX </w:t>
      </w:r>
      <w:proofErr w:type="spellStart"/>
      <w:r w:rsidRPr="00C069FA">
        <w:rPr>
          <w:rFonts w:ascii="Arial" w:hAnsi="Arial" w:cs="Arial"/>
        </w:rPr>
        <w:t>Print</w:t>
      </w:r>
      <w:proofErr w:type="spellEnd"/>
      <w:r w:rsidRPr="00C069FA">
        <w:rPr>
          <w:rFonts w:ascii="Arial" w:hAnsi="Arial" w:cs="Arial"/>
        </w:rPr>
        <w:t xml:space="preserve"> Suite que posibilita la impresión </w:t>
      </w:r>
      <w:proofErr w:type="spellStart"/>
      <w:r w:rsidRPr="00C069FA">
        <w:rPr>
          <w:rFonts w:ascii="Arial" w:hAnsi="Arial" w:cs="Arial"/>
        </w:rPr>
        <w:t>PureFlexo</w:t>
      </w:r>
      <w:proofErr w:type="spellEnd"/>
      <w:r w:rsidRPr="00C069FA">
        <w:rPr>
          <w:rFonts w:ascii="Arial" w:hAnsi="Arial" w:cs="Arial"/>
        </w:rPr>
        <w:t>™,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Obtenga más información en</w:t>
      </w:r>
      <w:r w:rsidRPr="00C069FA">
        <w:rPr>
          <w:rStyle w:val="Internetlink"/>
          <w:rFonts w:ascii="Arial" w:hAnsi="Arial" w:cs="Arial"/>
        </w:rPr>
        <w:t xml:space="preserve"> </w:t>
      </w:r>
      <w:hyperlink r:id="rId10" w:history="1">
        <w:r w:rsidRPr="00C069FA">
          <w:rPr>
            <w:rStyle w:val="Internetlink"/>
            <w:rFonts w:ascii="Arial" w:hAnsi="Arial" w:cs="Arial"/>
          </w:rPr>
          <w:t>www.miraclon.com</w:t>
        </w:r>
      </w:hyperlink>
      <w:r w:rsidRPr="00C069FA">
        <w:rPr>
          <w:rFonts w:ascii="Arial" w:hAnsi="Arial" w:cs="Arial"/>
        </w:rPr>
        <w:t xml:space="preserve">, y síganos en </w:t>
      </w:r>
      <w:hyperlink r:id="rId11" w:history="1">
        <w:r w:rsidRPr="00C069FA">
          <w:rPr>
            <w:rStyle w:val="Internetlink"/>
            <w:rFonts w:ascii="Arial" w:hAnsi="Arial" w:cs="Arial"/>
          </w:rPr>
          <w:t>LinkedIn</w:t>
        </w:r>
      </w:hyperlink>
      <w:r w:rsidRPr="00C069FA">
        <w:rPr>
          <w:rFonts w:ascii="Arial" w:hAnsi="Arial" w:cs="Arial"/>
        </w:rPr>
        <w:t xml:space="preserve"> y </w:t>
      </w:r>
      <w:hyperlink r:id="rId12" w:history="1">
        <w:r w:rsidRPr="00C069FA">
          <w:rPr>
            <w:rStyle w:val="Internetlink"/>
            <w:rFonts w:ascii="Arial" w:hAnsi="Arial" w:cs="Arial"/>
          </w:rPr>
          <w:t>YouTube</w:t>
        </w:r>
      </w:hyperlink>
      <w:r w:rsidRPr="00C069FA">
        <w:rPr>
          <w:rFonts w:ascii="Arial" w:hAnsi="Arial" w:cs="Arial"/>
        </w:rPr>
        <w:t>.</w:t>
      </w:r>
    </w:p>
    <w:p w14:paraId="31DB92F0" w14:textId="77777777" w:rsidR="00C948CB" w:rsidRDefault="00C948CB">
      <w:pPr>
        <w:pStyle w:val="Standard"/>
        <w:jc w:val="center"/>
      </w:pPr>
    </w:p>
    <w:sectPr w:rsidR="00C948CB">
      <w:headerReference w:type="default" r:id="rId13"/>
      <w:footerReference w:type="default" r:id="rId14"/>
      <w:pgSz w:w="12240" w:h="15840"/>
      <w:pgMar w:top="777" w:right="1376" w:bottom="144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31FA" w14:textId="77777777" w:rsidR="00935CB6" w:rsidRDefault="00935CB6">
      <w:r>
        <w:separator/>
      </w:r>
    </w:p>
  </w:endnote>
  <w:endnote w:type="continuationSeparator" w:id="0">
    <w:p w14:paraId="560513E4" w14:textId="77777777" w:rsidR="00935CB6" w:rsidRDefault="0093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6B3B" w14:textId="77777777" w:rsidR="0020542D" w:rsidRDefault="00183971">
    <w:pPr>
      <w:pStyle w:val="Footer"/>
    </w:pPr>
    <w:r>
      <w:rPr>
        <w:noProof/>
      </w:rPr>
      <w:drawing>
        <wp:anchor distT="0" distB="0" distL="114300" distR="114300" simplePos="0" relativeHeight="251659264" behindDoc="0" locked="0" layoutInCell="1" allowOverlap="1" wp14:anchorId="17777AC2" wp14:editId="7F5F0505">
          <wp:simplePos x="0" y="0"/>
          <wp:positionH relativeFrom="margin">
            <wp:align>right</wp:align>
          </wp:positionH>
          <wp:positionV relativeFrom="paragraph">
            <wp:posOffset>-160655</wp:posOffset>
          </wp:positionV>
          <wp:extent cx="550080" cy="5428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50080" cy="54288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71A8" w14:textId="77777777" w:rsidR="00935CB6" w:rsidRDefault="00935CB6">
      <w:r>
        <w:rPr>
          <w:color w:val="000000"/>
        </w:rPr>
        <w:separator/>
      </w:r>
    </w:p>
  </w:footnote>
  <w:footnote w:type="continuationSeparator" w:id="0">
    <w:p w14:paraId="5E35DF2D" w14:textId="77777777" w:rsidR="00935CB6" w:rsidRDefault="0093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5B93" w14:textId="77777777" w:rsidR="0020542D" w:rsidRDefault="00183971">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4D0"/>
    <w:multiLevelType w:val="multilevel"/>
    <w:tmpl w:val="DD86E734"/>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07C4237B"/>
    <w:multiLevelType w:val="multilevel"/>
    <w:tmpl w:val="C54224C2"/>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 w15:restartNumberingAfterBreak="0">
    <w:nsid w:val="0E812E2B"/>
    <w:multiLevelType w:val="multilevel"/>
    <w:tmpl w:val="CF7E8940"/>
    <w:styleLink w:val="WWNum6"/>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12A337D7"/>
    <w:multiLevelType w:val="multilevel"/>
    <w:tmpl w:val="F174B30C"/>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9D35F16"/>
    <w:multiLevelType w:val="multilevel"/>
    <w:tmpl w:val="17848112"/>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F9C5472"/>
    <w:multiLevelType w:val="multilevel"/>
    <w:tmpl w:val="B8B0E59A"/>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27068C0"/>
    <w:multiLevelType w:val="multilevel"/>
    <w:tmpl w:val="ADBEC02C"/>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31A5124"/>
    <w:multiLevelType w:val="multilevel"/>
    <w:tmpl w:val="4B94DEA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8" w15:restartNumberingAfterBreak="0">
    <w:nsid w:val="23524C4D"/>
    <w:multiLevelType w:val="multilevel"/>
    <w:tmpl w:val="E6807B2A"/>
    <w:styleLink w:val="WWNum5"/>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9" w15:restartNumberingAfterBreak="0">
    <w:nsid w:val="329B1113"/>
    <w:multiLevelType w:val="multilevel"/>
    <w:tmpl w:val="601C6876"/>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344F78B0"/>
    <w:multiLevelType w:val="multilevel"/>
    <w:tmpl w:val="93A21184"/>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ABB64FB"/>
    <w:multiLevelType w:val="multilevel"/>
    <w:tmpl w:val="58EE30AE"/>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E674332"/>
    <w:multiLevelType w:val="multilevel"/>
    <w:tmpl w:val="25CECB22"/>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41CA160D"/>
    <w:multiLevelType w:val="multilevel"/>
    <w:tmpl w:val="58C2A42E"/>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46376794"/>
    <w:multiLevelType w:val="multilevel"/>
    <w:tmpl w:val="C2A24CAE"/>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50AB69ED"/>
    <w:multiLevelType w:val="multilevel"/>
    <w:tmpl w:val="0DC225FA"/>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54AD3E9E"/>
    <w:multiLevelType w:val="multilevel"/>
    <w:tmpl w:val="D5E0AF54"/>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6C4578C"/>
    <w:multiLevelType w:val="multilevel"/>
    <w:tmpl w:val="C610FF9C"/>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8" w15:restartNumberingAfterBreak="0">
    <w:nsid w:val="573A19B4"/>
    <w:multiLevelType w:val="multilevel"/>
    <w:tmpl w:val="7B9C7846"/>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A0E16E9"/>
    <w:multiLevelType w:val="multilevel"/>
    <w:tmpl w:val="3F3A1CF8"/>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5B91112C"/>
    <w:multiLevelType w:val="multilevel"/>
    <w:tmpl w:val="F74EEDCE"/>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5CA60378"/>
    <w:multiLevelType w:val="multilevel"/>
    <w:tmpl w:val="A050A562"/>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4E0407F"/>
    <w:multiLevelType w:val="multilevel"/>
    <w:tmpl w:val="F3E67FC8"/>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E4D4B62"/>
    <w:multiLevelType w:val="multilevel"/>
    <w:tmpl w:val="8654D6F2"/>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81E7025"/>
    <w:multiLevelType w:val="multilevel"/>
    <w:tmpl w:val="F9420034"/>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5" w15:restartNumberingAfterBreak="0">
    <w:nsid w:val="798E0A3D"/>
    <w:multiLevelType w:val="multilevel"/>
    <w:tmpl w:val="E0801C4C"/>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AC22D9B"/>
    <w:multiLevelType w:val="multilevel"/>
    <w:tmpl w:val="ACD03B4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7" w15:restartNumberingAfterBreak="0">
    <w:nsid w:val="7ACD5E1B"/>
    <w:multiLevelType w:val="multilevel"/>
    <w:tmpl w:val="0D90A716"/>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16cid:durableId="1500609681">
    <w:abstractNumId w:val="20"/>
  </w:num>
  <w:num w:numId="2" w16cid:durableId="1141733960">
    <w:abstractNumId w:val="3"/>
  </w:num>
  <w:num w:numId="3" w16cid:durableId="1246494971">
    <w:abstractNumId w:val="23"/>
  </w:num>
  <w:num w:numId="4" w16cid:durableId="606888059">
    <w:abstractNumId w:val="14"/>
  </w:num>
  <w:num w:numId="5" w16cid:durableId="1012495738">
    <w:abstractNumId w:val="8"/>
  </w:num>
  <w:num w:numId="6" w16cid:durableId="1654407361">
    <w:abstractNumId w:val="2"/>
  </w:num>
  <w:num w:numId="7" w16cid:durableId="862091716">
    <w:abstractNumId w:val="27"/>
  </w:num>
  <w:num w:numId="8" w16cid:durableId="82994893">
    <w:abstractNumId w:val="5"/>
  </w:num>
  <w:num w:numId="9" w16cid:durableId="962730984">
    <w:abstractNumId w:val="1"/>
  </w:num>
  <w:num w:numId="10" w16cid:durableId="1296183129">
    <w:abstractNumId w:val="19"/>
  </w:num>
  <w:num w:numId="11" w16cid:durableId="935594760">
    <w:abstractNumId w:val="10"/>
  </w:num>
  <w:num w:numId="12" w16cid:durableId="438454089">
    <w:abstractNumId w:val="21"/>
  </w:num>
  <w:num w:numId="13" w16cid:durableId="943458268">
    <w:abstractNumId w:val="26"/>
  </w:num>
  <w:num w:numId="14" w16cid:durableId="530804932">
    <w:abstractNumId w:val="7"/>
  </w:num>
  <w:num w:numId="15" w16cid:durableId="1157838108">
    <w:abstractNumId w:val="22"/>
  </w:num>
  <w:num w:numId="16" w16cid:durableId="735669257">
    <w:abstractNumId w:val="12"/>
  </w:num>
  <w:num w:numId="17" w16cid:durableId="1619606773">
    <w:abstractNumId w:val="16"/>
  </w:num>
  <w:num w:numId="18" w16cid:durableId="2103063356">
    <w:abstractNumId w:val="13"/>
  </w:num>
  <w:num w:numId="19" w16cid:durableId="486557762">
    <w:abstractNumId w:val="15"/>
  </w:num>
  <w:num w:numId="20" w16cid:durableId="1189100928">
    <w:abstractNumId w:val="18"/>
  </w:num>
  <w:num w:numId="21" w16cid:durableId="1972663335">
    <w:abstractNumId w:val="6"/>
  </w:num>
  <w:num w:numId="22" w16cid:durableId="94450584">
    <w:abstractNumId w:val="11"/>
  </w:num>
  <w:num w:numId="23" w16cid:durableId="1993868330">
    <w:abstractNumId w:val="4"/>
  </w:num>
  <w:num w:numId="24" w16cid:durableId="121654408">
    <w:abstractNumId w:val="24"/>
  </w:num>
  <w:num w:numId="25" w16cid:durableId="69885299">
    <w:abstractNumId w:val="9"/>
  </w:num>
  <w:num w:numId="26" w16cid:durableId="1751922557">
    <w:abstractNumId w:val="17"/>
  </w:num>
  <w:num w:numId="27" w16cid:durableId="428935871">
    <w:abstractNumId w:val="0"/>
  </w:num>
  <w:num w:numId="28" w16cid:durableId="31080901">
    <w:abstractNumId w:val="25"/>
  </w:num>
  <w:num w:numId="29" w16cid:durableId="17614115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CB"/>
    <w:rsid w:val="00092C5F"/>
    <w:rsid w:val="00183971"/>
    <w:rsid w:val="00253887"/>
    <w:rsid w:val="008D36E7"/>
    <w:rsid w:val="00935CB6"/>
    <w:rsid w:val="00C069FA"/>
    <w:rsid w:val="00C948CB"/>
    <w:rsid w:val="00D6616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34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Textbody"/>
    <w:uiPriority w:val="9"/>
    <w:qFormat/>
    <w:pPr>
      <w:keepNext/>
      <w:outlineLvl w:val="0"/>
    </w:pPr>
    <w:rPr>
      <w:b/>
    </w:rPr>
  </w:style>
  <w:style w:type="paragraph" w:styleId="Heading2">
    <w:name w:val="heading 2"/>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1"/>
    <w:next w:val="Textbody"/>
    <w:pPr>
      <w:keepNext/>
      <w:spacing w:before="240" w:after="120"/>
    </w:pPr>
    <w:rPr>
      <w:rFonts w:ascii="Arial" w:eastAsia="Microsoft YaHei" w:hAnsi="Arial" w:cs="Arial"/>
      <w:sz w:val="28"/>
      <w:szCs w:val="28"/>
    </w:rPr>
  </w:style>
  <w:style w:type="paragraph" w:customStyle="1" w:styleId="Textbody">
    <w:name w:val="Text body"/>
    <w:basedOn w:val="Standard1"/>
    <w:pPr>
      <w:spacing w:after="120"/>
    </w:pPr>
  </w:style>
  <w:style w:type="paragraph" w:styleId="List">
    <w:name w:val="List"/>
    <w:basedOn w:val="Textbody"/>
    <w:rPr>
      <w:rFonts w:cs="Arial"/>
    </w:rPr>
  </w:style>
  <w:style w:type="paragraph" w:styleId="Caption">
    <w:name w:val="caption"/>
    <w:basedOn w:val="Standard1"/>
    <w:pPr>
      <w:suppressLineNumbers/>
      <w:spacing w:before="120" w:after="120"/>
    </w:pPr>
    <w:rPr>
      <w:rFonts w:cs="Arial"/>
      <w:i/>
      <w:iCs/>
      <w:sz w:val="24"/>
    </w:rPr>
  </w:style>
  <w:style w:type="paragraph" w:customStyle="1" w:styleId="Index">
    <w:name w:val="Index"/>
    <w:basedOn w:val="Standard1"/>
    <w:pPr>
      <w:suppressLineNumbers/>
    </w:pPr>
    <w:rPr>
      <w:rFonts w:cs="Arial"/>
    </w:rPr>
  </w:style>
  <w:style w:type="paragraph" w:customStyle="1" w:styleId="Standard1">
    <w:name w:val="Standard1"/>
    <w:pPr>
      <w:widowControl/>
    </w:pPr>
    <w:rPr>
      <w:rFonts w:ascii="Verdana" w:hAnsi="Verdana"/>
      <w:szCs w:val="24"/>
    </w:rPr>
  </w:style>
  <w:style w:type="paragraph" w:styleId="Header">
    <w:name w:val="header"/>
    <w:basedOn w:val="Standard1"/>
    <w:pPr>
      <w:suppressLineNumbers/>
      <w:tabs>
        <w:tab w:val="center" w:pos="4320"/>
        <w:tab w:val="right" w:pos="8640"/>
      </w:tabs>
    </w:pPr>
  </w:style>
  <w:style w:type="paragraph" w:styleId="Footer">
    <w:name w:val="footer"/>
    <w:basedOn w:val="Standard1"/>
    <w:pPr>
      <w:suppressLineNumbers/>
      <w:tabs>
        <w:tab w:val="center" w:pos="4320"/>
        <w:tab w:val="right" w:pos="8640"/>
      </w:tabs>
    </w:pPr>
  </w:style>
  <w:style w:type="paragraph" w:customStyle="1" w:styleId="CarCar">
    <w:name w:val="Car Car"/>
    <w:basedOn w:val="Standard1"/>
    <w:pPr>
      <w:spacing w:after="160" w:line="240" w:lineRule="exact"/>
    </w:pPr>
    <w:rPr>
      <w:szCs w:val="20"/>
    </w:rPr>
  </w:style>
  <w:style w:type="paragraph" w:customStyle="1" w:styleId="Subheading">
    <w:name w:val="Sub heading"/>
    <w:basedOn w:val="Standard1"/>
    <w:pPr>
      <w:spacing w:line="360" w:lineRule="auto"/>
    </w:pPr>
    <w:rPr>
      <w:rFonts w:ascii="HelveticaNeue BlackExt" w:hAnsi="HelveticaNeue BlackExt"/>
      <w:szCs w:val="20"/>
    </w:rPr>
  </w:style>
  <w:style w:type="paragraph" w:styleId="CommentText">
    <w:name w:val="annotation text"/>
    <w:basedOn w:val="Standard1"/>
    <w:rPr>
      <w:rFonts w:ascii="Times New Roman" w:hAnsi="Times New Roman"/>
      <w:szCs w:val="20"/>
      <w:lang w:eastAsia="en-GB"/>
    </w:rPr>
  </w:style>
  <w:style w:type="paragraph" w:styleId="BalloonText">
    <w:name w:val="Balloon Text"/>
    <w:basedOn w:val="Standard1"/>
    <w:rPr>
      <w:rFonts w:ascii="Lucida Grande" w:hAnsi="Lucida Grande"/>
      <w:sz w:val="18"/>
      <w:szCs w:val="18"/>
    </w:rPr>
  </w:style>
  <w:style w:type="paragraph" w:styleId="ListParagraph">
    <w:name w:val="List Paragraph"/>
    <w:basedOn w:val="Standard1"/>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1"/>
    <w:rPr>
      <w:rFonts w:ascii="Arial" w:hAnsi="Arial" w:cs="Arial"/>
      <w:sz w:val="17"/>
      <w:szCs w:val="17"/>
      <w:lang w:eastAsia="en-GB"/>
    </w:rPr>
  </w:style>
  <w:style w:type="paragraph" w:styleId="HTMLPreformatted">
    <w:name w:val="HTML Preformatted"/>
    <w:basedOn w:val="Standar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Revision">
    <w:name w:val="Revision"/>
    <w:pPr>
      <w:widowControl/>
      <w:suppressAutoHyphens w:val="0"/>
    </w:pPr>
  </w:style>
  <w:style w:type="character" w:customStyle="1" w:styleId="Internetlink">
    <w:name w:val="Internet link"/>
    <w:basedOn w:val="DefaultParagraphFont"/>
    <w:rPr>
      <w:color w:val="0563C1"/>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es-MX"/>
    </w:rPr>
  </w:style>
  <w:style w:type="character" w:customStyle="1" w:styleId="ListLabel1">
    <w:name w:val="ListLabel 1"/>
    <w:rPr>
      <w:rFonts w:cs="Arial"/>
    </w:rPr>
  </w:style>
  <w:style w:type="character" w:customStyle="1" w:styleId="NichtaufgelsteErwhnung1">
    <w:name w:val="Nicht aufgelöste Erwähnung1"/>
    <w:basedOn w:val="DefaultParagraphFont"/>
    <w:rPr>
      <w:color w:val="605E5C"/>
    </w:rPr>
  </w:style>
  <w:style w:type="character" w:customStyle="1" w:styleId="HTMLPreformattedChar1">
    <w:name w:val="HTML Preformatted Char1"/>
    <w:basedOn w:val="DefaultParagraphFont"/>
    <w:rPr>
      <w:rFonts w:ascii="Courier New" w:hAnsi="Courier New" w:cs="Courier New"/>
    </w:rPr>
  </w:style>
  <w:style w:type="character" w:customStyle="1" w:styleId="acopre">
    <w:name w:val="acopre"/>
    <w:basedOn w:val="DefaultParagraphFont"/>
  </w:style>
  <w:style w:type="character" w:customStyle="1" w:styleId="ListLabel2">
    <w:name w:val="ListLabel 2"/>
    <w:rPr>
      <w:rFonts w:cs="Arial"/>
    </w:rPr>
  </w:style>
  <w:style w:type="character" w:customStyle="1" w:styleId="ListLabel3">
    <w:name w:val="ListLabel 3"/>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character" w:styleId="Hyperlink">
    <w:name w:val="Hyperlink"/>
    <w:basedOn w:val="DefaultParagraphFont"/>
    <w:uiPriority w:val="99"/>
    <w:semiHidden/>
    <w:unhideWhenUsed/>
    <w:rsid w:val="00D66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570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7057</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2022-12-09T08:34:00Z</dcterms:created>
  <dcterms:modified xsi:type="dcterms:W3CDTF">2023-01-12T09:46:00Z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0ea685204114a868f016153892a8203e005d402e96e8b5eff7db988d155116b5</vt:lpwstr>
  </property>
</Properties>
</file>