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B6E5" w14:textId="77777777" w:rsidR="00D23783" w:rsidRDefault="00F66597">
      <w:pPr>
        <w:pStyle w:val="TextA"/>
        <w:rPr>
          <w:u w:color="FF0000"/>
        </w:rPr>
      </w:pPr>
      <w:r>
        <w:rPr>
          <w:rFonts w:ascii="Arial" w:hAnsi="Arial"/>
          <w:b/>
          <w:bCs/>
          <w:sz w:val="28"/>
          <w:szCs w:val="28"/>
          <w:u w:color="FF0000"/>
        </w:rPr>
        <w:t>Performance-Update im Doppelpack: GMG OpenColor und GMG ColorProof jetzt leistungsstärker denn je</w:t>
      </w:r>
    </w:p>
    <w:p w14:paraId="09F6B6E6" w14:textId="41C70438" w:rsidR="00D23783" w:rsidRDefault="00F66597">
      <w:pPr>
        <w:pStyle w:val="TextB"/>
        <w:rPr>
          <w:rFonts w:ascii="Arial" w:eastAsia="Arial" w:hAnsi="Arial" w:cs="Arial"/>
          <w:sz w:val="20"/>
          <w:szCs w:val="20"/>
          <w:u w:color="FF0000"/>
        </w:rPr>
      </w:pPr>
      <w:r>
        <w:rPr>
          <w:rFonts w:ascii="Arial" w:hAnsi="Arial"/>
          <w:b/>
          <w:bCs/>
          <w:sz w:val="20"/>
          <w:szCs w:val="20"/>
          <w:u w:color="FF0000"/>
        </w:rPr>
        <w:t>Tübingen, Deutschland (</w:t>
      </w:r>
      <w:r w:rsidR="00AD77FC" w:rsidRPr="00AD77FC">
        <w:rPr>
          <w:rFonts w:ascii="Arial" w:hAnsi="Arial"/>
          <w:b/>
          <w:bCs/>
          <w:color w:val="000000" w:themeColor="text1"/>
          <w:sz w:val="20"/>
          <w:szCs w:val="20"/>
          <w:u w:color="FF0000"/>
          <w:shd w:val="clear" w:color="auto" w:fill="FFFFFF"/>
        </w:rPr>
        <w:t>14</w:t>
      </w:r>
      <w:r>
        <w:rPr>
          <w:rFonts w:ascii="Arial" w:hAnsi="Arial"/>
          <w:b/>
          <w:bCs/>
          <w:sz w:val="20"/>
          <w:szCs w:val="20"/>
          <w:u w:color="FF0000"/>
        </w:rPr>
        <w:t>. Februar 2023) –</w:t>
      </w:r>
      <w:r>
        <w:rPr>
          <w:rFonts w:ascii="Arial" w:hAnsi="Arial"/>
          <w:sz w:val="20"/>
          <w:szCs w:val="20"/>
          <w:u w:color="FF0000"/>
        </w:rPr>
        <w:t> Mit GMG OpenColor 3.0 und GMG ColorProof</w:t>
      </w:r>
      <w:r>
        <w:rPr>
          <w:rFonts w:ascii="Arial" w:hAnsi="Arial"/>
          <w:sz w:val="20"/>
          <w:szCs w:val="20"/>
          <w:u w:color="FF0000"/>
        </w:rPr>
        <w:t xml:space="preserve"> 5.14 bringen die Farbexperten von GMG zwei mächtige Updates, die das Proofing im Verpackungsmarkt einmal mehr neu definieren.</w:t>
      </w:r>
    </w:p>
    <w:p w14:paraId="09F6B6E7" w14:textId="77777777" w:rsidR="00D23783" w:rsidRDefault="00F66597">
      <w:pPr>
        <w:pStyle w:val="TextB"/>
        <w:rPr>
          <w:rFonts w:ascii="Arial" w:eastAsia="Arial" w:hAnsi="Arial" w:cs="Arial"/>
          <w:b/>
          <w:bCs/>
          <w:sz w:val="20"/>
          <w:szCs w:val="20"/>
          <w:u w:color="FF0000"/>
        </w:rPr>
      </w:pPr>
      <w:r>
        <w:rPr>
          <w:rFonts w:ascii="Arial" w:hAnsi="Arial"/>
          <w:sz w:val="20"/>
          <w:szCs w:val="20"/>
          <w:u w:color="FF0000"/>
        </w:rPr>
        <w:t>Allem voran sorgt die neue GMG Spectral MX Color Engine für einen spektakulären Leistungszuwachs: bis zu 15-mal schnellere Proofp</w:t>
      </w:r>
      <w:r>
        <w:rPr>
          <w:rFonts w:ascii="Arial" w:hAnsi="Arial"/>
          <w:sz w:val="20"/>
          <w:szCs w:val="20"/>
          <w:u w:color="FF0000"/>
        </w:rPr>
        <w:t>rofilberechnung, verbesserte Profilqualität und bis zu 90 % geringere Profilgröße. Die höher aufgelösten MXN-Profile führen zu einer besseren Farbabstimmung zwischen Proof und Druck und optimieren die Druckfreigabe in der Verpackungslieferkette. In einem M</w:t>
      </w:r>
      <w:r>
        <w:rPr>
          <w:rFonts w:ascii="Arial" w:hAnsi="Arial"/>
          <w:sz w:val="20"/>
          <w:szCs w:val="20"/>
          <w:u w:color="FF0000"/>
        </w:rPr>
        <w:t>arkt, in dem Geschwindigkeit, Volumen und Durchsatz von größter Bedeutung sind, liegt der Vorteil klar auf der Hand.</w:t>
      </w:r>
      <w:r>
        <w:rPr>
          <w:rFonts w:ascii="Arial" w:hAnsi="Arial"/>
          <w:b/>
          <w:bCs/>
          <w:sz w:val="20"/>
          <w:szCs w:val="20"/>
          <w:u w:color="FF0000"/>
        </w:rPr>
        <w:t xml:space="preserve"> </w:t>
      </w:r>
    </w:p>
    <w:p w14:paraId="09F6B6E8" w14:textId="77777777" w:rsidR="00D23783" w:rsidRDefault="00F66597">
      <w:pPr>
        <w:pStyle w:val="Text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Stefan Zrenner, Head of Sales &amp; Marketing bei GMG,</w:t>
      </w:r>
      <w:r>
        <w:rPr>
          <w:rFonts w:ascii="Arial" w:hAnsi="Arial"/>
          <w:sz w:val="20"/>
          <w:szCs w:val="20"/>
        </w:rPr>
        <w:t xml:space="preserve"> unterstreicht die Bedeutung der Updates: „Die Qualität unserer Proofprofile ist entsche</w:t>
      </w:r>
      <w:r>
        <w:rPr>
          <w:rFonts w:ascii="Arial" w:hAnsi="Arial"/>
          <w:sz w:val="20"/>
          <w:szCs w:val="20"/>
        </w:rPr>
        <w:t>idend für eine wirtschaftliche Verpackungsproduktion. Dass wir die Auflösung und damit die Präzision dieser Profile nochmals steigern konnten, wäre allein schon ein Update wert. Doch die bis zu 15-mal schnellere Performance der neuen MX Color Engine ist sc</w:t>
      </w:r>
      <w:r>
        <w:rPr>
          <w:rFonts w:ascii="Arial" w:hAnsi="Arial"/>
          <w:sz w:val="20"/>
          <w:szCs w:val="20"/>
        </w:rPr>
        <w:t>hlicht sensationell. GMG OpenColor und GMG ColorProof sind im Zusammenspiel unschlagbar.“</w:t>
      </w:r>
    </w:p>
    <w:p w14:paraId="09F6B6E9" w14:textId="77777777" w:rsidR="00D23783" w:rsidRDefault="00F66597">
      <w:pPr>
        <w:pStyle w:val="TextB"/>
        <w:rPr>
          <w:rFonts w:ascii="Arial" w:eastAsia="Arial" w:hAnsi="Arial" w:cs="Arial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  <w:u w:color="FF0000"/>
        </w:rPr>
        <w:t>Neu ist auch die LAB-to-Spectral-Konvertierungstechnologie in GMG OpenColor. Damit lassen sich LAB-basierte MX4- und ICC-Profile sowie Charakterisierungsdaten importi</w:t>
      </w:r>
      <w:r>
        <w:rPr>
          <w:rFonts w:ascii="Arial" w:hAnsi="Arial"/>
          <w:sz w:val="20"/>
          <w:szCs w:val="20"/>
          <w:u w:color="FF0000"/>
        </w:rPr>
        <w:t xml:space="preserve">eren. Das ermöglicht es Anwendern, ihre gesamte Proofproduktion inklusive älterer Bestandsdaten auf das weitaus präzisere spektrale Berechnungsmodell umzustellen, wodurch eine verbindlichere Vorhersage der überdruckenden Sonder- und Prozessfarben erreicht </w:t>
      </w:r>
      <w:r>
        <w:rPr>
          <w:rFonts w:ascii="Arial" w:hAnsi="Arial"/>
          <w:sz w:val="20"/>
          <w:szCs w:val="20"/>
          <w:u w:color="FF0000"/>
        </w:rPr>
        <w:t>wird.</w:t>
      </w:r>
    </w:p>
    <w:p w14:paraId="09F6B6EA" w14:textId="77777777" w:rsidR="00D23783" w:rsidRDefault="00F66597">
      <w:pPr>
        <w:pStyle w:val="TextB"/>
        <w:rPr>
          <w:rFonts w:ascii="Arial" w:eastAsia="Arial" w:hAnsi="Arial" w:cs="Arial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  <w:u w:color="FF0000"/>
        </w:rPr>
        <w:t>Weil die gemeinsame Nutzung und Bereitstellung von verbindlichen Sonderfarben-Referenzwerten speziell im Verpackungsmarkt von großer Bedeutung sind, können Anwender mit der Spot-Color-CxF-Exportfunktion nun auch spektrale Referenzfarbwerte aus GMG Op</w:t>
      </w:r>
      <w:r>
        <w:rPr>
          <w:rFonts w:ascii="Arial" w:hAnsi="Arial"/>
          <w:sz w:val="20"/>
          <w:szCs w:val="20"/>
          <w:u w:color="FF0000"/>
        </w:rPr>
        <w:t>enColor mit anderen Produktionstools austauschen und über die gesamte Lieferkette hinweg teilen. Zudem können GMG Technologiepartner über die Schnittstelle von GMG OpenColor auf diese Sonderfarben-Spektralwerte zugreifen. Ergebnis: die sichere Prozesskontr</w:t>
      </w:r>
      <w:r>
        <w:rPr>
          <w:rFonts w:ascii="Arial" w:hAnsi="Arial"/>
          <w:sz w:val="20"/>
          <w:szCs w:val="20"/>
          <w:u w:color="FF0000"/>
        </w:rPr>
        <w:t>olle von Markenfarben.</w:t>
      </w:r>
    </w:p>
    <w:p w14:paraId="09F6B6EB" w14:textId="77777777" w:rsidR="00D23783" w:rsidRDefault="00F66597">
      <w:pPr>
        <w:pStyle w:val="TextB"/>
        <w:rPr>
          <w:rFonts w:ascii="Arial" w:eastAsia="Arial" w:hAnsi="Arial" w:cs="Arial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  <w:u w:color="FF0000"/>
        </w:rPr>
        <w:t>Stefan Zrenner ergänzt: „Mit diesem Update profitieren GMG OpenColor-Anwender von einer zentralen Plattform, auf der alle Daten und Profile zur Charakterisierung von Prozess- und Sonderfarben gespeichert werden können. In der Folge k</w:t>
      </w:r>
      <w:r>
        <w:rPr>
          <w:rFonts w:ascii="Arial" w:hAnsi="Arial"/>
          <w:sz w:val="20"/>
          <w:szCs w:val="20"/>
          <w:u w:color="FF0000"/>
        </w:rPr>
        <w:t>ann ein und dieselbe Referenzdatenquelle sowohl für das Proofing als auch für die Farbkonvertierung genutzt werden.“</w:t>
      </w:r>
    </w:p>
    <w:p w14:paraId="09F6B6EC" w14:textId="6A8677AA" w:rsidR="00D23783" w:rsidRDefault="00F66597">
      <w:pPr>
        <w:pStyle w:val="Text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0"/>
          <w:szCs w:val="20"/>
          <w:u w:color="222222"/>
        </w:rPr>
      </w:pPr>
      <w:r>
        <w:rPr>
          <w:rFonts w:ascii="Arial" w:hAnsi="Arial"/>
          <w:sz w:val="20"/>
          <w:szCs w:val="20"/>
          <w:u w:color="FF0000"/>
        </w:rPr>
        <w:t>Weitere Informationen unter </w:t>
      </w:r>
      <w:hyperlink r:id="rId8" w:history="1">
        <w:r w:rsidRPr="00E72556">
          <w:rPr>
            <w:rStyle w:val="Hyperlink"/>
            <w:rFonts w:ascii="Arial" w:hAnsi="Arial"/>
            <w:sz w:val="20"/>
            <w:szCs w:val="20"/>
          </w:rPr>
          <w:t>gmgcolor.com/de/produkte/opencolor</w:t>
        </w:r>
      </w:hyperlink>
      <w:r>
        <w:rPr>
          <w:rFonts w:ascii="Arial" w:hAnsi="Arial"/>
          <w:sz w:val="20"/>
          <w:szCs w:val="20"/>
          <w:u w:color="FF0000"/>
        </w:rPr>
        <w:t xml:space="preserve"> sowie </w:t>
      </w:r>
      <w:hyperlink r:id="rId9" w:history="1">
        <w:r w:rsidRPr="00DB1FA5">
          <w:rPr>
            <w:rStyle w:val="Hyperlink"/>
            <w:rFonts w:ascii="Arial" w:hAnsi="Arial"/>
            <w:sz w:val="20"/>
            <w:szCs w:val="20"/>
          </w:rPr>
          <w:t>gmgcolor.com/de/produkte/colorproof</w:t>
        </w:r>
      </w:hyperlink>
    </w:p>
    <w:p w14:paraId="09F6B6ED" w14:textId="77777777" w:rsidR="00D23783" w:rsidRDefault="00D23783">
      <w:pPr>
        <w:pStyle w:val="TextC"/>
        <w:spacing w:after="240" w:line="28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9F6B6EE" w14:textId="4A9BD348" w:rsidR="00D23783" w:rsidRDefault="00F66597">
      <w:pPr>
        <w:pStyle w:val="TextC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u w:color="FF0000"/>
        </w:rPr>
        <w:t>ENDE</w:t>
      </w:r>
    </w:p>
    <w:p w14:paraId="09F6B6EF" w14:textId="77777777" w:rsidR="00D23783" w:rsidRDefault="00D2378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240" w:lineRule="auto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</w:p>
    <w:p w14:paraId="09F6B6F0" w14:textId="77777777" w:rsidR="00D23783" w:rsidRDefault="00F66597">
      <w:pPr>
        <w:pStyle w:val="NoSpacing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Über GMG:</w:t>
      </w:r>
      <w:r>
        <w:rPr>
          <w:rFonts w:ascii="Arial" w:hAnsi="Arial"/>
        </w:rPr>
        <w:t xml:space="preserve"> GMG ist der führende Entwickler von High-End-Farbmanagement-Lösungen. Das Unternehmen wurde 1984 in Tübingen, Deutschland, gegründet, wo sich auch heute noch der Hauptsitz befindet. Mit mehr als 35 Jahre</w:t>
      </w:r>
      <w:r>
        <w:rPr>
          <w:rFonts w:ascii="Arial" w:hAnsi="Arial"/>
        </w:rPr>
        <w:t xml:space="preserve">n Erfahrung im Farbmanagement ist GMG ein Branchenpionier, der buchstäblich die Standards in diesem Segment setzt. Das Hauptaugenmerk von GMG liegt auf der Entwicklung von Komplettlösungen zur Standardisierung von Farbmanagement-Workflows für verschiedene </w:t>
      </w:r>
      <w:r>
        <w:rPr>
          <w:rFonts w:ascii="Arial" w:hAnsi="Arial"/>
        </w:rPr>
        <w:t xml:space="preserve">Druckverfahren und für unterschiedliche Substrate. GMG ist mit über 12.000 installierten Farbmanagement-Systemen auf der ganzen Welt zu Hause. Zu </w:t>
      </w:r>
      <w:r>
        <w:rPr>
          <w:rFonts w:ascii="Arial" w:hAnsi="Arial"/>
        </w:rPr>
        <w:lastRenderedPageBreak/>
        <w:t>den Kunden des Unternehmens zählen unter anderem Kreativagenturen, Prepressunternehmen, Offset-, Flexo-, Verpa</w:t>
      </w:r>
      <w:r>
        <w:rPr>
          <w:rFonts w:ascii="Arial" w:hAnsi="Arial"/>
        </w:rPr>
        <w:t>ckungs-, Digital-, Tiefdruck- und Großformatdruckereien. GMG ist sowohl mit eigenen Tochtergesellschaften als auch über ein breites Partnernetzwerk global vertreten.</w:t>
      </w:r>
    </w:p>
    <w:p w14:paraId="09F6B6F1" w14:textId="77777777" w:rsidR="00D23783" w:rsidRDefault="00F66597">
      <w:pPr>
        <w:pStyle w:val="TextC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9F6B701" wp14:editId="09F6B702">
            <wp:extent cx="3124200" cy="1491808"/>
            <wp:effectExtent l="0" t="0" r="0" b="0"/>
            <wp:docPr id="1073741826" name="officeArt object" descr="new_wherever_2016_RGB_400px_96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_wherever_2016_RGB_400px_96dpi.jpg" descr="new_wherever_2016_RGB_400px_96dpi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91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9F6B6F2" w14:textId="77777777" w:rsidR="00D23783" w:rsidRDefault="00F66597">
      <w:pPr>
        <w:pStyle w:val="NoSpacing"/>
        <w:rPr>
          <w:rFonts w:ascii="Arial" w:eastAsia="Arial" w:hAnsi="Arial" w:cs="Arial"/>
        </w:rPr>
      </w:pPr>
      <w:r>
        <w:rPr>
          <w:rFonts w:ascii="Arial" w:hAnsi="Arial"/>
        </w:rPr>
        <w:t xml:space="preserve">© </w:t>
      </w:r>
      <w:r>
        <w:rPr>
          <w:rFonts w:ascii="Arial" w:hAnsi="Arial"/>
          <w:b/>
          <w:bCs/>
        </w:rPr>
        <w:t>2023 GMG GmbH &amp; Co. KG.</w:t>
      </w:r>
      <w:r>
        <w:rPr>
          <w:rFonts w:ascii="Arial" w:hAnsi="Arial"/>
        </w:rPr>
        <w:t xml:space="preserve"> GMG, das GMG Logo und bestimmte Produktbezeichnungen sind eing</w:t>
      </w:r>
      <w:r>
        <w:rPr>
          <w:rFonts w:ascii="Arial" w:hAnsi="Arial"/>
        </w:rPr>
        <w:t>etragene Warenzeichen der GMG GmbH &amp; Co. KG. Alle anderen Bezeichnungen und genannten Produkte sind eingetragene Warenzeichen der jeweiligen Firmen. GMG behält sich das Recht vor, jederzeit Änderungen technischer oder anderer Art vorzunehmen.</w:t>
      </w:r>
    </w:p>
    <w:p w14:paraId="09F6B6F4" w14:textId="0C19292B" w:rsidR="00D23783" w:rsidRDefault="00F66597">
      <w:pPr>
        <w:pStyle w:val="TextC"/>
        <w:jc w:val="both"/>
        <w:rPr>
          <w:rStyle w:val="Ohne"/>
          <w:rFonts w:ascii="Arial" w:eastAsia="Arial" w:hAnsi="Arial" w:cs="Arial"/>
          <w:sz w:val="18"/>
          <w:szCs w:val="18"/>
          <w:u w:color="FF0000"/>
        </w:rPr>
      </w:pPr>
      <w:r>
        <w:rPr>
          <w:rFonts w:ascii="Arial" w:hAnsi="Arial"/>
          <w:sz w:val="18"/>
          <w:szCs w:val="18"/>
          <w:u w:color="FF0000"/>
        </w:rPr>
        <w:t>Für weitere I</w:t>
      </w:r>
      <w:r>
        <w:rPr>
          <w:rFonts w:ascii="Arial" w:hAnsi="Arial"/>
          <w:sz w:val="18"/>
          <w:szCs w:val="18"/>
          <w:u w:color="FF0000"/>
        </w:rPr>
        <w:t xml:space="preserve">nformationen besuchen Sie bitte </w:t>
      </w:r>
      <w:hyperlink r:id="rId11" w:history="1">
        <w:r>
          <w:rPr>
            <w:rStyle w:val="Hyperlink0"/>
          </w:rPr>
          <w:t>www.gmgcolor.com</w:t>
        </w:r>
      </w:hyperlink>
      <w:r>
        <w:rPr>
          <w:rStyle w:val="Ohne"/>
          <w:rFonts w:ascii="Arial" w:hAnsi="Arial"/>
          <w:sz w:val="18"/>
          <w:szCs w:val="18"/>
          <w:u w:color="FF0000"/>
        </w:rPr>
        <w:t xml:space="preserve">, </w:t>
      </w:r>
      <w:hyperlink r:id="rId12" w:history="1">
        <w:r>
          <w:rPr>
            <w:rStyle w:val="Hyperlink0"/>
          </w:rPr>
          <w:t>www.facebook.com/gmgcolor.en</w:t>
        </w:r>
      </w:hyperlink>
      <w:r>
        <w:rPr>
          <w:rStyle w:val="Ohne"/>
          <w:rFonts w:ascii="Arial" w:hAnsi="Arial"/>
          <w:sz w:val="18"/>
          <w:szCs w:val="18"/>
          <w:u w:color="FF0000"/>
        </w:rPr>
        <w:t xml:space="preserve">, </w:t>
      </w:r>
      <w:hyperlink r:id="rId13" w:history="1">
        <w:r>
          <w:rPr>
            <w:rStyle w:val="Hyperlink0"/>
          </w:rPr>
          <w:t>http://twitter.com/gmgcolor</w:t>
        </w:r>
      </w:hyperlink>
      <w:r>
        <w:rPr>
          <w:rStyle w:val="Ohne"/>
          <w:rFonts w:ascii="Arial" w:hAnsi="Arial"/>
          <w:sz w:val="18"/>
          <w:szCs w:val="18"/>
          <w:u w:color="FF0000"/>
        </w:rPr>
        <w:t xml:space="preserve">, </w:t>
      </w:r>
      <w:r>
        <w:rPr>
          <w:rStyle w:val="Hyperlink1"/>
        </w:rPr>
        <w:fldChar w:fldCharType="begin"/>
      </w:r>
      <w:r w:rsidRPr="00AD77FC">
        <w:rPr>
          <w:rStyle w:val="Hyperlink1"/>
          <w:lang w:val="de-DE"/>
          <w:rPrChange w:id="0" w:author="Anne Komander" w:date="2023-02-14T11:00:00Z">
            <w:rPr>
              <w:rStyle w:val="Hyperlink1"/>
            </w:rPr>
          </w:rPrChange>
        </w:rPr>
        <w:instrText xml:space="preserve"> HYPERLINK "https://www.linkedin.com/company/gmg"</w:instrText>
      </w:r>
      <w:r>
        <w:rPr>
          <w:rStyle w:val="Hyperlink1"/>
        </w:rPr>
      </w:r>
      <w:r>
        <w:rPr>
          <w:rStyle w:val="Hyperlink1"/>
        </w:rPr>
        <w:fldChar w:fldCharType="separate"/>
      </w:r>
      <w:r w:rsidRPr="00AD77FC">
        <w:rPr>
          <w:rStyle w:val="Hyperlink1"/>
          <w:lang w:val="de-DE"/>
          <w:rPrChange w:id="1" w:author="Anne Komander" w:date="2023-02-14T11:00:00Z">
            <w:rPr>
              <w:rStyle w:val="Hyperlink1"/>
            </w:rPr>
          </w:rPrChange>
        </w:rPr>
        <w:t>www.linkedin.com/company/gmg</w:t>
      </w:r>
      <w:r>
        <w:fldChar w:fldCharType="end"/>
      </w:r>
    </w:p>
    <w:p w14:paraId="09F6B6F5" w14:textId="77777777" w:rsidR="00D23783" w:rsidRDefault="00D23783">
      <w:pPr>
        <w:pStyle w:val="TextC"/>
        <w:jc w:val="both"/>
        <w:rPr>
          <w:rStyle w:val="Ohne"/>
          <w:rFonts w:ascii="Arial" w:eastAsia="Arial" w:hAnsi="Arial" w:cs="Arial"/>
          <w:sz w:val="18"/>
          <w:szCs w:val="18"/>
          <w:u w:color="FF0000"/>
        </w:rPr>
      </w:pPr>
    </w:p>
    <w:p w14:paraId="09F6B6F7" w14:textId="0C485F82" w:rsidR="00D23783" w:rsidRPr="00F66597" w:rsidRDefault="00F66597">
      <w:pPr>
        <w:pStyle w:val="NoSpacing"/>
        <w:rPr>
          <w:rStyle w:val="Ohne"/>
          <w:rFonts w:ascii="Arial" w:eastAsia="Arial" w:hAnsi="Arial" w:cs="Arial"/>
          <w:b/>
          <w:bCs/>
          <w:sz w:val="20"/>
          <w:szCs w:val="20"/>
        </w:rPr>
      </w:pPr>
      <w:r>
        <w:rPr>
          <w:rStyle w:val="Ohne"/>
          <w:rFonts w:ascii="Arial" w:hAnsi="Arial"/>
          <w:b/>
          <w:bCs/>
          <w:sz w:val="20"/>
          <w:szCs w:val="20"/>
        </w:rPr>
        <w:t xml:space="preserve">Pressekontakt: </w:t>
      </w:r>
    </w:p>
    <w:p w14:paraId="09F6B6F8" w14:textId="77777777" w:rsidR="00D23783" w:rsidRDefault="00F66597">
      <w:pPr>
        <w:pStyle w:val="NoSpacing"/>
        <w:rPr>
          <w:rStyle w:val="Ohne"/>
          <w:rFonts w:ascii="Arial" w:eastAsia="Arial" w:hAnsi="Arial" w:cs="Arial"/>
          <w:sz w:val="20"/>
          <w:szCs w:val="20"/>
        </w:rPr>
      </w:pPr>
      <w:r>
        <w:rPr>
          <w:rStyle w:val="Ohne"/>
          <w:rFonts w:ascii="Arial" w:hAnsi="Arial"/>
          <w:sz w:val="20"/>
          <w:szCs w:val="20"/>
        </w:rPr>
        <w:t>GMG GmbH &amp; Co. KG</w:t>
      </w:r>
    </w:p>
    <w:p w14:paraId="09F6B6F9" w14:textId="77777777" w:rsidR="00D23783" w:rsidRDefault="00F66597">
      <w:pPr>
        <w:pStyle w:val="NoSpacing"/>
        <w:rPr>
          <w:rStyle w:val="Ohne"/>
          <w:rFonts w:ascii="Arial" w:eastAsia="Arial" w:hAnsi="Arial" w:cs="Arial"/>
          <w:sz w:val="20"/>
          <w:szCs w:val="20"/>
          <w:lang w:val="en-US"/>
        </w:rPr>
      </w:pPr>
      <w:r>
        <w:rPr>
          <w:rStyle w:val="Ohne"/>
          <w:rFonts w:ascii="Arial" w:hAnsi="Arial"/>
          <w:sz w:val="20"/>
          <w:szCs w:val="20"/>
          <w:lang w:val="en-US"/>
        </w:rPr>
        <w:t>Phone: +49 (0) 7071 938 74-0</w:t>
      </w:r>
    </w:p>
    <w:p w14:paraId="09F6B6FA" w14:textId="77777777" w:rsidR="00D23783" w:rsidRPr="00F66597" w:rsidRDefault="00F66597">
      <w:pPr>
        <w:pStyle w:val="NoSpacing"/>
        <w:rPr>
          <w:rStyle w:val="Hyperlink2"/>
          <w:lang w:val="it-IT"/>
        </w:rPr>
      </w:pPr>
      <w:r w:rsidRPr="00F66597">
        <w:rPr>
          <w:rStyle w:val="Ohne"/>
          <w:rFonts w:ascii="Arial" w:hAnsi="Arial"/>
          <w:sz w:val="20"/>
          <w:szCs w:val="20"/>
          <w:lang w:val="it-IT"/>
        </w:rPr>
        <w:t xml:space="preserve">E-mail: </w:t>
      </w:r>
      <w:hyperlink r:id="rId14" w:history="1">
        <w:r w:rsidRPr="00F66597">
          <w:rPr>
            <w:rStyle w:val="Hyperlink2"/>
            <w:lang w:val="it-IT"/>
          </w:rPr>
          <w:t>pr@gmgcolor.com</w:t>
        </w:r>
      </w:hyperlink>
    </w:p>
    <w:p w14:paraId="09F6B6FB" w14:textId="77777777" w:rsidR="00D23783" w:rsidRPr="00F66597" w:rsidRDefault="00D23783">
      <w:pPr>
        <w:pStyle w:val="NoSpacing"/>
        <w:rPr>
          <w:rStyle w:val="Ohne"/>
          <w:rFonts w:ascii="Arial" w:eastAsia="Arial" w:hAnsi="Arial" w:cs="Arial"/>
          <w:color w:val="0000FF"/>
          <w:sz w:val="20"/>
          <w:szCs w:val="20"/>
          <w:u w:val="single" w:color="0000FF"/>
          <w:lang w:val="it-IT"/>
        </w:rPr>
      </w:pPr>
    </w:p>
    <w:p w14:paraId="09F6B6FD" w14:textId="594B655D" w:rsidR="00D23783" w:rsidRPr="00F66597" w:rsidRDefault="00F66597">
      <w:pPr>
        <w:pStyle w:val="NoSpacing"/>
        <w:rPr>
          <w:rStyle w:val="Ohne"/>
          <w:rFonts w:ascii="Arial" w:eastAsia="Arial" w:hAnsi="Arial" w:cs="Arial"/>
          <w:b/>
          <w:bCs/>
          <w:sz w:val="20"/>
          <w:szCs w:val="20"/>
        </w:rPr>
      </w:pPr>
      <w:r>
        <w:rPr>
          <w:rStyle w:val="Ohne"/>
          <w:rFonts w:ascii="Arial" w:hAnsi="Arial"/>
          <w:b/>
          <w:bCs/>
          <w:sz w:val="20"/>
          <w:szCs w:val="20"/>
        </w:rPr>
        <w:t xml:space="preserve">Veröffentlicht von: </w:t>
      </w:r>
    </w:p>
    <w:p w14:paraId="09F6B6FE" w14:textId="77777777" w:rsidR="00D23783" w:rsidRDefault="00F66597">
      <w:pPr>
        <w:pStyle w:val="NoSpacing"/>
        <w:rPr>
          <w:rStyle w:val="Ohne"/>
          <w:rFonts w:ascii="Arial" w:eastAsia="Arial" w:hAnsi="Arial" w:cs="Arial"/>
          <w:sz w:val="20"/>
          <w:szCs w:val="20"/>
        </w:rPr>
      </w:pPr>
      <w:r>
        <w:rPr>
          <w:rStyle w:val="Ohne"/>
          <w:rFonts w:ascii="Arial" w:hAnsi="Arial"/>
          <w:sz w:val="20"/>
          <w:szCs w:val="20"/>
        </w:rPr>
        <w:t>AD Communications</w:t>
      </w:r>
    </w:p>
    <w:p w14:paraId="09F6B6FF" w14:textId="331C8D37" w:rsidR="00D23783" w:rsidRDefault="00F66597">
      <w:pPr>
        <w:pStyle w:val="NoSpacing"/>
        <w:rPr>
          <w:rStyle w:val="Ohne"/>
          <w:rFonts w:ascii="Arial" w:eastAsia="Arial" w:hAnsi="Arial" w:cs="Arial"/>
          <w:sz w:val="20"/>
          <w:szCs w:val="20"/>
        </w:rPr>
      </w:pPr>
      <w:r>
        <w:rPr>
          <w:rStyle w:val="Ohne"/>
          <w:rFonts w:ascii="Arial" w:hAnsi="Arial"/>
          <w:sz w:val="20"/>
          <w:szCs w:val="20"/>
        </w:rPr>
        <w:t>Sirah Awan</w:t>
      </w:r>
    </w:p>
    <w:p w14:paraId="09F6B700" w14:textId="00A49056" w:rsidR="00D23783" w:rsidRDefault="00F66597">
      <w:pPr>
        <w:pStyle w:val="NoSpacing"/>
      </w:pPr>
      <w:r>
        <w:rPr>
          <w:rStyle w:val="Ohne"/>
          <w:rFonts w:ascii="Arial" w:hAnsi="Arial"/>
          <w:sz w:val="20"/>
          <w:szCs w:val="20"/>
        </w:rPr>
        <w:t xml:space="preserve">E-mail: </w:t>
      </w:r>
      <w:hyperlink r:id="rId15" w:history="1">
        <w:r w:rsidRPr="004D1945">
          <w:rPr>
            <w:rStyle w:val="Hyperlink"/>
            <w:rFonts w:ascii="Arial" w:eastAsia="Arial Unicode MS" w:hAnsi="Arial" w:cs="Arial Unicode MS"/>
            <w:sz w:val="20"/>
            <w:szCs w:val="20"/>
          </w:rPr>
          <w:t>sawan@adcomms.co.uk</w:t>
        </w:r>
      </w:hyperlink>
    </w:p>
    <w:sectPr w:rsidR="00D23783">
      <w:headerReference w:type="default" r:id="rId16"/>
      <w:footerReference w:type="default" r:id="rId17"/>
      <w:pgSz w:w="11900" w:h="16840"/>
      <w:pgMar w:top="3119" w:right="1440" w:bottom="1440" w:left="1440" w:header="170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2EDE" w14:textId="77777777" w:rsidR="00E23445" w:rsidRDefault="00E23445">
      <w:r>
        <w:separator/>
      </w:r>
    </w:p>
  </w:endnote>
  <w:endnote w:type="continuationSeparator" w:id="0">
    <w:p w14:paraId="7B627FB2" w14:textId="77777777" w:rsidR="00E23445" w:rsidRDefault="00E2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B704" w14:textId="49E3C8EE" w:rsidR="00D23783" w:rsidRDefault="00F66597">
    <w:pPr>
      <w:pStyle w:val="Footer"/>
      <w:tabs>
        <w:tab w:val="clear" w:pos="9026"/>
        <w:tab w:val="right" w:pos="9000"/>
      </w:tabs>
      <w:jc w:val="right"/>
    </w:pPr>
    <w:r>
      <w:rPr>
        <w:rFonts w:ascii="Arial" w:hAnsi="Arial"/>
        <w:sz w:val="18"/>
        <w:szCs w:val="18"/>
      </w:rPr>
      <w:t xml:space="preserve">Seite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AD77FC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von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AD77FC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0DAA" w14:textId="77777777" w:rsidR="00E23445" w:rsidRDefault="00E23445">
      <w:r>
        <w:separator/>
      </w:r>
    </w:p>
  </w:footnote>
  <w:footnote w:type="continuationSeparator" w:id="0">
    <w:p w14:paraId="7E9C21AA" w14:textId="77777777" w:rsidR="00E23445" w:rsidRDefault="00E2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B703" w14:textId="77777777" w:rsidR="00D23783" w:rsidRDefault="00F66597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9F6B705" wp14:editId="09F6B706">
          <wp:simplePos x="0" y="0"/>
          <wp:positionH relativeFrom="page">
            <wp:posOffset>5600700</wp:posOffset>
          </wp:positionH>
          <wp:positionV relativeFrom="page">
            <wp:posOffset>965835</wp:posOffset>
          </wp:positionV>
          <wp:extent cx="1382395" cy="499745"/>
          <wp:effectExtent l="0" t="0" r="0" b="0"/>
          <wp:wrapNone/>
          <wp:docPr id="1073741825" name="officeArt object" descr="gmg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mg_logo_cmyk" descr="gmg_logo_cmy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499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36"/>
        <w:szCs w:val="36"/>
      </w:rPr>
      <w:t>Pressemitteilung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 Komander">
    <w15:presenceInfo w15:providerId="AD" w15:userId="S::anne.komander@gmgcolor.com::511f8a6a-ed92-4cb8-b6e2-994c77ac2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83"/>
    <w:rsid w:val="00AD77FC"/>
    <w:rsid w:val="00D23783"/>
    <w:rsid w:val="00DB1FA5"/>
    <w:rsid w:val="00E23445"/>
    <w:rsid w:val="00E72556"/>
    <w:rsid w:val="00F6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B6E5"/>
  <w15:docId w15:val="{0EBE3A5C-86A0-0E4C-A324-1645868A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13"/>
        <w:tab w:val="right" w:pos="9026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A">
    <w:name w:val="Text A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B">
    <w:name w:val="Text B"/>
    <w:pPr>
      <w:spacing w:before="160"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pPr>
      <w:spacing w:before="160" w:after="160" w:line="259" w:lineRule="auto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C">
    <w:name w:val="Text C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pPr>
      <w:spacing w:after="160" w:line="259" w:lineRule="auto"/>
      <w:jc w:val="both"/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rial" w:eastAsia="Arial" w:hAnsi="Arial" w:cs="Arial"/>
      <w:sz w:val="18"/>
      <w:szCs w:val="18"/>
      <w:u w:val="single" w:color="FF0000"/>
      <w:lang w:val="de-DE"/>
    </w:rPr>
  </w:style>
  <w:style w:type="character" w:customStyle="1" w:styleId="Hyperlink1">
    <w:name w:val="Hyperlink.1"/>
    <w:basedOn w:val="Ohne"/>
    <w:rPr>
      <w:rFonts w:ascii="Arial" w:eastAsia="Arial" w:hAnsi="Arial" w:cs="Arial"/>
      <w:sz w:val="18"/>
      <w:szCs w:val="18"/>
      <w:u w:val="single" w:color="FF0000"/>
      <w:lang w:val="en-US"/>
    </w:rPr>
  </w:style>
  <w:style w:type="character" w:customStyle="1" w:styleId="Hyperlink2">
    <w:name w:val="Hyperlink.2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3">
    <w:name w:val="Hyperlink.3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Revision">
    <w:name w:val="Revision"/>
    <w:hidden/>
    <w:uiPriority w:val="99"/>
    <w:semiHidden/>
    <w:rsid w:val="00AD77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25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FA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gcolor.com/de/produkte/opencolor" TargetMode="External"/><Relationship Id="rId13" Type="http://schemas.openxmlformats.org/officeDocument/2006/relationships/hyperlink" Target="https://twitter.com/gmgcolo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MGColor.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mgcolo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wan@adcomms.co.uk" TargetMode="Externa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gmgcolor.com/de/produkte/colorproof" TargetMode="External"/><Relationship Id="rId14" Type="http://schemas.openxmlformats.org/officeDocument/2006/relationships/hyperlink" Target="mailto:pr@gmgcol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68B6E2261D64EB941A4FD35A85FD4" ma:contentTypeVersion="16" ma:contentTypeDescription="Ein neues Dokument erstellen." ma:contentTypeScope="" ma:versionID="ae7288da58c0f73092871129674476af">
  <xsd:schema xmlns:xsd="http://www.w3.org/2001/XMLSchema" xmlns:xs="http://www.w3.org/2001/XMLSchema" xmlns:p="http://schemas.microsoft.com/office/2006/metadata/properties" xmlns:ns2="478001db-a0ab-4bf0-83a8-eea0ae1b0f7f" xmlns:ns3="172c7983-4b4c-4113-ae15-fe75f3131103" targetNamespace="http://schemas.microsoft.com/office/2006/metadata/properties" ma:root="true" ma:fieldsID="09314187d1a7a43f6110df56ed53da4e" ns2:_="" ns3:_="">
    <xsd:import namespace="478001db-a0ab-4bf0-83a8-eea0ae1b0f7f"/>
    <xsd:import namespace="172c7983-4b4c-4113-ae15-fe75f3131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01db-a0ab-4bf0-83a8-eea0ae1b0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27dd598-711c-4f84-b272-53401904d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7983-4b4c-4113-ae15-fe75f3131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a2d364-64be-4bc1-b036-567a6d902080}" ma:internalName="TaxCatchAll" ma:showField="CatchAllData" ma:web="172c7983-4b4c-4113-ae15-fe75f3131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AB5E9-CB28-474F-982B-F08E89C97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001db-a0ab-4bf0-83a8-eea0ae1b0f7f"/>
    <ds:schemaRef ds:uri="172c7983-4b4c-4113-ae15-fe75f3131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9A3D2-6305-4F55-871D-7EFD1444C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Aimee Parsons</cp:lastModifiedBy>
  <cp:revision>5</cp:revision>
  <dcterms:created xsi:type="dcterms:W3CDTF">2023-02-14T10:00:00Z</dcterms:created>
  <dcterms:modified xsi:type="dcterms:W3CDTF">2023-02-16T09:42:00Z</dcterms:modified>
</cp:coreProperties>
</file>