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Default="00BF41AF" w:rsidP="00BF41AF">
      <w:pPr>
        <w:tabs>
          <w:tab w:val="left" w:pos="245"/>
        </w:tabs>
        <w:rPr>
          <w:rFonts w:eastAsia="Times New Roman"/>
          <w:szCs w:val="20"/>
        </w:rPr>
      </w:pPr>
      <w:r>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Default="00BF41AF" w:rsidP="00BF41AF">
      <w:pPr>
        <w:tabs>
          <w:tab w:val="left" w:pos="245"/>
        </w:tabs>
        <w:rPr>
          <w:rFonts w:eastAsia="Times New Roman"/>
          <w:szCs w:val="20"/>
        </w:rPr>
      </w:pPr>
    </w:p>
    <w:p w14:paraId="68BBFB3C" w14:textId="5434BE7A" w:rsidR="00BF41AF" w:rsidRDefault="0071588D" w:rsidP="00BF41AF">
      <w:pPr>
        <w:tabs>
          <w:tab w:val="left" w:pos="245"/>
        </w:tabs>
        <w:rPr>
          <w:rFonts w:eastAsia="Times New Roman"/>
          <w:color w:val="003399"/>
        </w:rPr>
      </w:pPr>
      <w:r>
        <w:rPr>
          <w:noProof/>
          <w:lang w:val="de-CH" w:eastAsia="de-CH"/>
        </w:rPr>
        <w:drawing>
          <wp:inline distT="0" distB="0" distL="0" distR="0" wp14:anchorId="067C2491" wp14:editId="5BC6FFAD">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Default="00BF41AF" w:rsidP="00BF41AF">
      <w:pPr>
        <w:rPr>
          <w:rFonts w:ascii="Arial" w:eastAsia="Times New Roman" w:hAnsi="Arial" w:cs="Arial"/>
          <w:b/>
          <w:sz w:val="28"/>
          <w:szCs w:val="28"/>
          <w:lang w:val="en-GB"/>
        </w:rPr>
      </w:pPr>
    </w:p>
    <w:p w14:paraId="7CC80023" w14:textId="77777777" w:rsidR="00BF41AF" w:rsidRPr="00D41DE9" w:rsidRDefault="00BF41AF" w:rsidP="00BF41AF">
      <w:pPr>
        <w:outlineLvl w:val="0"/>
        <w:rPr>
          <w:rFonts w:ascii="Arial" w:eastAsia="Times New Roman" w:hAnsi="Arial" w:cs="Arial"/>
          <w:b/>
          <w:sz w:val="20"/>
          <w:szCs w:val="20"/>
        </w:rPr>
      </w:pPr>
      <w:r>
        <w:rPr>
          <w:rFonts w:ascii="Arial" w:hAnsi="Arial"/>
          <w:b/>
          <w:sz w:val="20"/>
        </w:rPr>
        <w:t>Attachés de presse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1FBA3807" w14:textId="2E748AE2" w:rsidR="00BF41AF" w:rsidRPr="00D41DE9" w:rsidRDefault="00BF41AF" w:rsidP="00BF41AF">
      <w:pPr>
        <w:pStyle w:val="bodytext"/>
        <w:spacing w:before="0" w:beforeAutospacing="0" w:after="0" w:afterAutospacing="0"/>
        <w:rPr>
          <w:rFonts w:ascii="Arial" w:hAnsi="Arial" w:cs="Arial"/>
          <w:color w:val="auto"/>
          <w:sz w:val="20"/>
          <w:szCs w:val="20"/>
        </w:rPr>
      </w:pPr>
      <w:bookmarkStart w:id="0" w:name="_Hlk124848387"/>
      <w:r>
        <w:rPr>
          <w:rFonts w:ascii="Arial" w:hAnsi="Arial"/>
          <w:color w:val="auto"/>
          <w:sz w:val="20"/>
        </w:rPr>
        <w:t>Heather Buchholz</w:t>
      </w:r>
      <w:bookmarkEnd w:id="0"/>
      <w:r>
        <w:rPr>
          <w:rFonts w:ascii="Arial" w:hAnsi="Arial"/>
          <w:color w:val="auto"/>
          <w:sz w:val="20"/>
        </w:rPr>
        <w:t>, Sun Chemical</w:t>
      </w:r>
      <w:r>
        <w:rPr>
          <w:rFonts w:ascii="Arial" w:hAnsi="Arial"/>
          <w:color w:val="auto"/>
          <w:sz w:val="20"/>
        </w:rPr>
        <w:tab/>
        <w:t xml:space="preserve">Rayyan Rabbani, AD Communications, UK </w:t>
      </w:r>
    </w:p>
    <w:p w14:paraId="46041B04" w14:textId="1EC31480" w:rsidR="00BF41AF" w:rsidRPr="00D41DE9" w:rsidRDefault="00BF41AF" w:rsidP="00BF41AF">
      <w:pPr>
        <w:pStyle w:val="bodytext"/>
        <w:spacing w:before="0" w:beforeAutospacing="0" w:after="0" w:afterAutospacing="0"/>
        <w:rPr>
          <w:rFonts w:ascii="Arial" w:hAnsi="Arial" w:cs="Arial"/>
          <w:color w:val="auto"/>
          <w:sz w:val="20"/>
          <w:szCs w:val="20"/>
        </w:rPr>
      </w:pPr>
      <w:r>
        <w:rPr>
          <w:rFonts w:ascii="Arial" w:hAnsi="Arial"/>
          <w:color w:val="auto"/>
          <w:sz w:val="20"/>
        </w:rPr>
        <w:t>+1 708 236 3779</w:t>
      </w:r>
      <w:r>
        <w:rPr>
          <w:rFonts w:ascii="Arial" w:hAnsi="Arial"/>
          <w:color w:val="auto"/>
          <w:sz w:val="20"/>
        </w:rPr>
        <w:tab/>
      </w:r>
      <w:r>
        <w:rPr>
          <w:rFonts w:ascii="Arial" w:hAnsi="Arial"/>
          <w:color w:val="auto"/>
          <w:sz w:val="20"/>
        </w:rPr>
        <w:tab/>
      </w:r>
      <w:r>
        <w:rPr>
          <w:rFonts w:ascii="Arial" w:hAnsi="Arial"/>
          <w:color w:val="auto"/>
          <w:sz w:val="20"/>
        </w:rPr>
        <w:tab/>
        <w:t xml:space="preserve"> +44 (0)7827 910 382</w:t>
      </w:r>
    </w:p>
    <w:p w14:paraId="268D4451" w14:textId="77777777" w:rsidR="00BF41AF" w:rsidRPr="00D41DE9" w:rsidRDefault="00000000" w:rsidP="00BF41AF">
      <w:pPr>
        <w:pStyle w:val="bodytext"/>
        <w:spacing w:before="0" w:beforeAutospacing="0" w:after="0" w:afterAutospacing="0"/>
        <w:rPr>
          <w:rFonts w:ascii="Arial" w:hAnsi="Arial" w:cs="Arial"/>
          <w:color w:val="auto"/>
          <w:sz w:val="20"/>
          <w:szCs w:val="20"/>
          <w:u w:val="single"/>
        </w:rPr>
      </w:pPr>
      <w:hyperlink r:id="rId14" w:history="1">
        <w:r w:rsidR="005F0A25">
          <w:rPr>
            <w:rStyle w:val="Hyperlink"/>
            <w:rFonts w:ascii="Arial" w:hAnsi="Arial"/>
            <w:sz w:val="20"/>
          </w:rPr>
          <w:t>heather.buchholz@sunchemical.com</w:t>
        </w:r>
      </w:hyperlink>
      <w:r w:rsidR="005F0A25">
        <w:rPr>
          <w:rFonts w:ascii="Arial" w:hAnsi="Arial"/>
          <w:color w:val="auto"/>
          <w:sz w:val="20"/>
        </w:rPr>
        <w:tab/>
      </w:r>
      <w:hyperlink r:id="rId15" w:history="1">
        <w:r w:rsidR="005F0A25">
          <w:rPr>
            <w:rStyle w:val="Hyperlink"/>
            <w:rFonts w:ascii="Arial" w:hAnsi="Arial"/>
            <w:sz w:val="20"/>
          </w:rPr>
          <w:t>rrabbani@adcomms.co.uk</w:t>
        </w:r>
      </w:hyperlink>
    </w:p>
    <w:p w14:paraId="11C2B9C2" w14:textId="6FA62C14" w:rsidR="002C614E" w:rsidRDefault="002C614E"/>
    <w:p w14:paraId="128504AB" w14:textId="0A67D7F0" w:rsidR="00BF41AF" w:rsidRDefault="002C130F" w:rsidP="002C130F">
      <w:pPr>
        <w:jc w:val="center"/>
        <w:rPr>
          <w:rFonts w:ascii="Arial Black" w:eastAsia="Times New Roman" w:hAnsi="Arial Black" w:cs="Times New Roman"/>
          <w:sz w:val="28"/>
          <w:szCs w:val="24"/>
        </w:rPr>
      </w:pPr>
      <w:r>
        <w:rPr>
          <w:rFonts w:ascii="Arial Black" w:hAnsi="Arial Black"/>
          <w:sz w:val="28"/>
        </w:rPr>
        <w:t>Sun Chemical présentera une large gamme de solutions durables pour les étiquettes et les emballages au salon Labelexpo Europe 2023</w:t>
      </w:r>
    </w:p>
    <w:p w14:paraId="5CB33E9F" w14:textId="77777777" w:rsidR="002C130F" w:rsidRPr="005F5FB4" w:rsidRDefault="002C130F" w:rsidP="00BF41AF">
      <w:pPr>
        <w:rPr>
          <w:rFonts w:ascii="Arial Black" w:hAnsi="Arial Black"/>
          <w:b/>
          <w:sz w:val="24"/>
          <w:szCs w:val="24"/>
        </w:rPr>
      </w:pPr>
    </w:p>
    <w:p w14:paraId="4ACFA4F2" w14:textId="5CC42AE2" w:rsidR="00C96211" w:rsidRPr="005F5FB4" w:rsidRDefault="000B2B2D" w:rsidP="002332AE">
      <w:pPr>
        <w:spacing w:after="160" w:line="259" w:lineRule="auto"/>
        <w:contextualSpacing/>
        <w:rPr>
          <w:rFonts w:ascii="Arial Narrow" w:hAnsi="Arial Narrow"/>
          <w:sz w:val="24"/>
        </w:rPr>
      </w:pPr>
      <w:r w:rsidRPr="00A07D81">
        <w:rPr>
          <w:rFonts w:ascii="Arial Narrow" w:hAnsi="Arial Narrow"/>
          <w:b/>
          <w:bCs/>
          <w:caps/>
          <w:sz w:val="24"/>
        </w:rPr>
        <w:t>South Normanton, Royaume-Uni</w:t>
      </w:r>
      <w:r w:rsidRPr="005F5FB4">
        <w:rPr>
          <w:rFonts w:ascii="Arial Narrow" w:hAnsi="Arial Narrow"/>
          <w:sz w:val="24"/>
        </w:rPr>
        <w:t xml:space="preserve"> – </w:t>
      </w:r>
      <w:r w:rsidR="00A07D81">
        <w:rPr>
          <w:rFonts w:ascii="Arial Narrow" w:hAnsi="Arial Narrow"/>
          <w:sz w:val="24"/>
        </w:rPr>
        <w:t>31</w:t>
      </w:r>
      <w:r w:rsidRPr="005F5FB4">
        <w:rPr>
          <w:rFonts w:ascii="Arial Narrow" w:hAnsi="Arial Narrow"/>
          <w:sz w:val="24"/>
        </w:rPr>
        <w:t> juillet 2023 – Sun Chemical mettra en avant sa gamme toujours plus étendue de solutions durables pour les secteurs des étiquettes et des emballages souples à l’occasion du salon Labelexpo Europe 2023 (hall 5, stand E45), soulignant sa position unique de fournisseur d’encres, de vernis, d’adhésifs, de conceptions d’emballage, de solutions de gestion des couleurs et d’analyses de la durabilité.</w:t>
      </w:r>
      <w:r>
        <w:rPr>
          <w:rFonts w:ascii="Arial Narrow" w:hAnsi="Arial Narrow"/>
          <w:sz w:val="24"/>
        </w:rPr>
        <w:t xml:space="preserve"> À partir du cadre de développement durable des « 5R » (Réutiliser, Réduire, Renouveler, Recycler et Repenser) et de sa gamme de produits, Sun Chemical vise à aider les producteurs et les transformateurs d’emballages à faire progresser leurs activités d’une manière plus durable sur le plan environnemental.</w:t>
      </w:r>
    </w:p>
    <w:p w14:paraId="76288072" w14:textId="77777777" w:rsidR="00D334ED" w:rsidRDefault="00D334ED" w:rsidP="002332AE">
      <w:pPr>
        <w:spacing w:after="160" w:line="259" w:lineRule="auto"/>
        <w:contextualSpacing/>
        <w:rPr>
          <w:rFonts w:ascii="Arial Narrow" w:eastAsia="Times New Roman" w:hAnsi="Arial Narrow"/>
          <w:sz w:val="24"/>
          <w:szCs w:val="24"/>
        </w:rPr>
      </w:pPr>
    </w:p>
    <w:p w14:paraId="180105A2" w14:textId="07E65182" w:rsidR="00D334ED" w:rsidRDefault="00D334ED" w:rsidP="002332AE">
      <w:pPr>
        <w:spacing w:after="160" w:line="259" w:lineRule="auto"/>
        <w:contextualSpacing/>
        <w:rPr>
          <w:rFonts w:ascii="Arial Narrow" w:eastAsia="Times New Roman" w:hAnsi="Arial Narrow" w:cs="Arial"/>
          <w:sz w:val="24"/>
          <w:szCs w:val="24"/>
        </w:rPr>
      </w:pPr>
      <w:r>
        <w:rPr>
          <w:rFonts w:ascii="Arial Narrow" w:hAnsi="Arial Narrow"/>
          <w:sz w:val="24"/>
        </w:rPr>
        <w:t xml:space="preserve">Sun Chemical présentera également des solutions pour optimiser l’efficacité et la productivité, ainsi que des produits spécialisés essentiels et ses dernières solutions numériques jet d’encre. Mark Walkling, chef de produit Europe pour les produits d’emballage durcissant par rayonnement et les étiquettes petite laize, animera un segment intitulé « Encres et vernis spécialisés » lors de la Master Class sur l’étiquetage du vin le 14 septembre à 11h05. Sur inscription. </w:t>
      </w:r>
    </w:p>
    <w:p w14:paraId="2EFB231F" w14:textId="77777777" w:rsidR="00D313A5" w:rsidRPr="005F5FB4" w:rsidRDefault="00D313A5" w:rsidP="00D313A5">
      <w:pPr>
        <w:spacing w:after="160" w:line="259" w:lineRule="auto"/>
        <w:contextualSpacing/>
        <w:rPr>
          <w:rFonts w:ascii="Arial Narrow" w:eastAsia="Times New Roman" w:hAnsi="Arial Narrow" w:cs="Times New Roman"/>
          <w:sz w:val="24"/>
          <w:szCs w:val="24"/>
        </w:rPr>
      </w:pPr>
    </w:p>
    <w:p w14:paraId="2F4CE2CF" w14:textId="14152EF9" w:rsidR="00F74161" w:rsidRPr="007D0F61" w:rsidRDefault="009C474B" w:rsidP="00A45A2D">
      <w:pPr>
        <w:spacing w:after="160" w:line="259" w:lineRule="auto"/>
        <w:contextualSpacing/>
        <w:rPr>
          <w:rFonts w:ascii="Arial Narrow" w:eastAsia="Times New Roman" w:hAnsi="Arial Narrow" w:cs="Times New Roman"/>
          <w:b/>
          <w:bCs/>
          <w:sz w:val="24"/>
          <w:szCs w:val="24"/>
        </w:rPr>
      </w:pPr>
      <w:r>
        <w:rPr>
          <w:rFonts w:ascii="Arial Narrow" w:hAnsi="Arial Narrow"/>
          <w:b/>
          <w:sz w:val="24"/>
        </w:rPr>
        <w:t>Parmi les solutions exposées qui favorisent la durabilité :</w:t>
      </w:r>
    </w:p>
    <w:p w14:paraId="396139F2" w14:textId="54E510AC" w:rsidR="00A45A2D" w:rsidRPr="00431BD5" w:rsidRDefault="009B535E" w:rsidP="00D334ED">
      <w:pPr>
        <w:pStyle w:val="ListParagraph"/>
        <w:numPr>
          <w:ilvl w:val="0"/>
          <w:numId w:val="6"/>
        </w:numPr>
        <w:spacing w:after="160" w:line="259" w:lineRule="auto"/>
        <w:rPr>
          <w:rFonts w:ascii="Arial Narrow" w:hAnsi="Arial Narrow"/>
        </w:rPr>
      </w:pPr>
      <w:r>
        <w:rPr>
          <w:rFonts w:ascii="Arial Narrow" w:hAnsi="Arial Narrow"/>
        </w:rPr>
        <w:t xml:space="preserve">Les systèmes d’encres flexo UV et UV LED </w:t>
      </w:r>
      <w:proofErr w:type="spellStart"/>
      <w:r>
        <w:rPr>
          <w:rFonts w:ascii="Arial Narrow" w:hAnsi="Arial Narrow"/>
        </w:rPr>
        <w:t>désencrables</w:t>
      </w:r>
      <w:proofErr w:type="spellEnd"/>
      <w:r>
        <w:rPr>
          <w:rFonts w:ascii="Arial Narrow" w:hAnsi="Arial Narrow"/>
        </w:rPr>
        <w:t xml:space="preserve"> </w:t>
      </w:r>
      <w:proofErr w:type="spellStart"/>
      <w:r>
        <w:rPr>
          <w:rFonts w:ascii="Arial Narrow" w:hAnsi="Arial Narrow"/>
          <w:b/>
          <w:bCs/>
        </w:rPr>
        <w:t>SolarFlex</w:t>
      </w:r>
      <w:proofErr w:type="spellEnd"/>
      <w:r>
        <w:rPr>
          <w:rFonts w:ascii="Arial Narrow" w:hAnsi="Arial Narrow"/>
          <w:b/>
          <w:bCs/>
        </w:rPr>
        <w:t xml:space="preserve"> CRCL</w:t>
      </w:r>
      <w:r>
        <w:rPr>
          <w:rFonts w:ascii="Arial Narrow" w:hAnsi="Arial Narrow"/>
        </w:rPr>
        <w:t xml:space="preserve"> et </w:t>
      </w:r>
      <w:proofErr w:type="spellStart"/>
      <w:r>
        <w:rPr>
          <w:rFonts w:ascii="Arial Narrow" w:hAnsi="Arial Narrow"/>
        </w:rPr>
        <w:t>SolarWave</w:t>
      </w:r>
      <w:proofErr w:type="spellEnd"/>
      <w:r>
        <w:rPr>
          <w:rFonts w:ascii="Arial Narrow" w:hAnsi="Arial Narrow"/>
        </w:rPr>
        <w:t xml:space="preserve"> CRCL, et les encres à base de solvant </w:t>
      </w:r>
      <w:proofErr w:type="spellStart"/>
      <w:r>
        <w:rPr>
          <w:rFonts w:ascii="Arial Narrow" w:hAnsi="Arial Narrow"/>
        </w:rPr>
        <w:t>désencrables</w:t>
      </w:r>
      <w:proofErr w:type="spellEnd"/>
      <w:r>
        <w:rPr>
          <w:rFonts w:ascii="Arial Narrow" w:hAnsi="Arial Narrow"/>
        </w:rPr>
        <w:t xml:space="preserve"> </w:t>
      </w:r>
      <w:proofErr w:type="spellStart"/>
      <w:r>
        <w:rPr>
          <w:rFonts w:ascii="Arial Narrow" w:hAnsi="Arial Narrow"/>
          <w:b/>
          <w:bCs/>
        </w:rPr>
        <w:t>Solvawash</w:t>
      </w:r>
      <w:proofErr w:type="spellEnd"/>
      <w:r>
        <w:rPr>
          <w:rFonts w:ascii="Arial Narrow" w:hAnsi="Arial Narrow"/>
          <w:b/>
          <w:bCs/>
        </w:rPr>
        <w:t xml:space="preserve"> </w:t>
      </w:r>
      <w:r>
        <w:rPr>
          <w:rFonts w:ascii="Arial Narrow" w:hAnsi="Arial Narrow"/>
        </w:rPr>
        <w:t>pour les manchons en PET cristallisable, conformes aux protocoles de performances de l’APR.</w:t>
      </w:r>
    </w:p>
    <w:p w14:paraId="24484666" w14:textId="77777777" w:rsidR="003C5A4E" w:rsidRPr="005F5FB4" w:rsidRDefault="003C5A4E" w:rsidP="003C5A4E">
      <w:pPr>
        <w:pStyle w:val="ListParagraph"/>
        <w:spacing w:after="160" w:line="259" w:lineRule="auto"/>
        <w:rPr>
          <w:rFonts w:ascii="Arial Narrow" w:hAnsi="Arial Narrow"/>
        </w:rPr>
      </w:pPr>
    </w:p>
    <w:p w14:paraId="5D978D0E" w14:textId="4CF49A62" w:rsidR="002E627B" w:rsidRPr="00D334ED" w:rsidRDefault="002E627B" w:rsidP="00D334ED">
      <w:pPr>
        <w:pStyle w:val="ListParagraph"/>
        <w:numPr>
          <w:ilvl w:val="0"/>
          <w:numId w:val="6"/>
        </w:numPr>
        <w:spacing w:after="160" w:line="259" w:lineRule="auto"/>
        <w:rPr>
          <w:rFonts w:ascii="Arial Narrow" w:hAnsi="Arial Narrow"/>
        </w:rPr>
      </w:pPr>
      <w:r>
        <w:rPr>
          <w:rFonts w:ascii="Arial Narrow" w:hAnsi="Arial Narrow"/>
        </w:rPr>
        <w:t xml:space="preserve">Les systèmes d’apprêt, d’encre et de vernis à rétention, y compris les encres flexo </w:t>
      </w:r>
      <w:proofErr w:type="spellStart"/>
      <w:r>
        <w:rPr>
          <w:rFonts w:ascii="Arial Narrow" w:hAnsi="Arial Narrow"/>
          <w:b/>
          <w:bCs/>
        </w:rPr>
        <w:t>SolarWave</w:t>
      </w:r>
      <w:proofErr w:type="spellEnd"/>
      <w:r>
        <w:rPr>
          <w:rFonts w:ascii="Arial Narrow" w:hAnsi="Arial Narrow"/>
        </w:rPr>
        <w:t xml:space="preserve"> UV LED, conformes aux protocoles de recyclage de l’industrie.</w:t>
      </w:r>
    </w:p>
    <w:p w14:paraId="262A869A" w14:textId="77777777" w:rsidR="003C5A4E" w:rsidRPr="005F5FB4" w:rsidRDefault="003C5A4E" w:rsidP="003C5A4E">
      <w:pPr>
        <w:pStyle w:val="ListParagraph"/>
        <w:spacing w:after="160" w:line="259" w:lineRule="auto"/>
        <w:rPr>
          <w:rFonts w:ascii="Arial Narrow" w:hAnsi="Arial Narrow"/>
        </w:rPr>
      </w:pPr>
    </w:p>
    <w:p w14:paraId="1A0B4AB9" w14:textId="6A68D8F6" w:rsidR="002E627B" w:rsidRPr="00D334ED" w:rsidRDefault="002E627B" w:rsidP="00D334ED">
      <w:pPr>
        <w:pStyle w:val="ListParagraph"/>
        <w:numPr>
          <w:ilvl w:val="0"/>
          <w:numId w:val="6"/>
        </w:numPr>
        <w:spacing w:after="160" w:line="259" w:lineRule="auto"/>
        <w:rPr>
          <w:rFonts w:ascii="Arial Narrow" w:hAnsi="Arial Narrow"/>
        </w:rPr>
      </w:pPr>
      <w:r>
        <w:rPr>
          <w:rFonts w:ascii="Arial Narrow" w:hAnsi="Arial Narrow"/>
        </w:rPr>
        <w:t xml:space="preserve">Les encres </w:t>
      </w:r>
      <w:proofErr w:type="spellStart"/>
      <w:r>
        <w:rPr>
          <w:rFonts w:ascii="Arial Narrow" w:hAnsi="Arial Narrow"/>
          <w:b/>
          <w:bCs/>
        </w:rPr>
        <w:t>SolarWave</w:t>
      </w:r>
      <w:proofErr w:type="spellEnd"/>
      <w:r>
        <w:rPr>
          <w:rFonts w:ascii="Arial Narrow" w:hAnsi="Arial Narrow"/>
          <w:b/>
          <w:bCs/>
        </w:rPr>
        <w:t xml:space="preserve"> FSP</w:t>
      </w:r>
      <w:r>
        <w:rPr>
          <w:rFonts w:ascii="Arial Narrow" w:hAnsi="Arial Narrow"/>
        </w:rPr>
        <w:t xml:space="preserve"> UV LED conformes aux normes alimentaires, testées indépendamment et certifiées non-écotoxiques, donc adaptées aux emballages compostables. Les échantillons présentés sur le stand seront imprimés sur une poche compostable créée en partenariat avec </w:t>
      </w:r>
      <w:proofErr w:type="spellStart"/>
      <w:r>
        <w:rPr>
          <w:rFonts w:ascii="Arial Narrow" w:hAnsi="Arial Narrow"/>
        </w:rPr>
        <w:t>Flexprinter</w:t>
      </w:r>
      <w:proofErr w:type="spellEnd"/>
      <w:r>
        <w:rPr>
          <w:rFonts w:ascii="Arial Narrow" w:hAnsi="Arial Narrow"/>
        </w:rPr>
        <w:t>, Belgique.</w:t>
      </w:r>
    </w:p>
    <w:p w14:paraId="7916E9F3" w14:textId="77777777" w:rsidR="003C5A4E" w:rsidRPr="005F5FB4" w:rsidRDefault="003C5A4E" w:rsidP="003C5A4E">
      <w:pPr>
        <w:pStyle w:val="ListParagraph"/>
        <w:spacing w:after="160" w:line="259" w:lineRule="auto"/>
        <w:rPr>
          <w:rFonts w:ascii="Arial Narrow" w:hAnsi="Arial Narrow"/>
        </w:rPr>
      </w:pPr>
    </w:p>
    <w:p w14:paraId="3E3E5F9E" w14:textId="30AF8785" w:rsidR="002E627B" w:rsidRDefault="002E627B" w:rsidP="00D334ED">
      <w:pPr>
        <w:pStyle w:val="ListParagraph"/>
        <w:numPr>
          <w:ilvl w:val="0"/>
          <w:numId w:val="6"/>
        </w:numPr>
        <w:spacing w:after="160" w:line="259" w:lineRule="auto"/>
        <w:rPr>
          <w:rFonts w:ascii="Arial Narrow" w:hAnsi="Arial Narrow"/>
        </w:rPr>
      </w:pPr>
      <w:r>
        <w:rPr>
          <w:rFonts w:ascii="Arial Narrow" w:hAnsi="Arial Narrow"/>
        </w:rPr>
        <w:lastRenderedPageBreak/>
        <w:t>Les vernis UV innovants à base de polyester recyclé et à forte teneur en matières premières biosourcées.</w:t>
      </w:r>
    </w:p>
    <w:p w14:paraId="2A10FE5F" w14:textId="77777777" w:rsidR="00B044C0" w:rsidRPr="005F5FB4" w:rsidRDefault="00B044C0" w:rsidP="0030735E">
      <w:pPr>
        <w:pStyle w:val="ListParagraph"/>
        <w:rPr>
          <w:rFonts w:ascii="Arial Narrow" w:hAnsi="Arial Narrow"/>
        </w:rPr>
      </w:pPr>
    </w:p>
    <w:p w14:paraId="01E1D39B" w14:textId="375E28C9" w:rsidR="00B044C0" w:rsidRDefault="00B044C0" w:rsidP="00B044C0">
      <w:pPr>
        <w:pStyle w:val="ListParagraph"/>
        <w:numPr>
          <w:ilvl w:val="0"/>
          <w:numId w:val="6"/>
        </w:numPr>
        <w:spacing w:after="160" w:line="259" w:lineRule="auto"/>
        <w:rPr>
          <w:rFonts w:ascii="Arial Narrow" w:hAnsi="Arial Narrow"/>
        </w:rPr>
      </w:pPr>
      <w:r>
        <w:rPr>
          <w:rFonts w:ascii="Arial Narrow" w:hAnsi="Arial Narrow"/>
        </w:rPr>
        <w:t xml:space="preserve">Une gamme complète de solutions </w:t>
      </w:r>
      <w:proofErr w:type="spellStart"/>
      <w:r>
        <w:rPr>
          <w:rFonts w:ascii="Arial Narrow" w:hAnsi="Arial Narrow"/>
        </w:rPr>
        <w:t>flexographiques</w:t>
      </w:r>
      <w:proofErr w:type="spellEnd"/>
      <w:r>
        <w:rPr>
          <w:rFonts w:ascii="Arial Narrow" w:hAnsi="Arial Narrow"/>
        </w:rPr>
        <w:t>, offset et sérigraphiques UV LED et à faisceau d’électrons pour les étiquettes et les emballages, y compris des vernis et des adhésifs.</w:t>
      </w:r>
    </w:p>
    <w:p w14:paraId="18A89E5F" w14:textId="77777777" w:rsidR="00BB6C35" w:rsidRPr="005F5FB4" w:rsidRDefault="00BB6C35" w:rsidP="00B044C0">
      <w:pPr>
        <w:spacing w:after="160" w:line="259" w:lineRule="auto"/>
        <w:contextualSpacing/>
        <w:rPr>
          <w:rFonts w:ascii="Arial Narrow" w:eastAsia="Times New Roman" w:hAnsi="Arial Narrow" w:cs="Times New Roman"/>
          <w:sz w:val="24"/>
          <w:szCs w:val="24"/>
        </w:rPr>
      </w:pPr>
    </w:p>
    <w:p w14:paraId="79E70404" w14:textId="3399968C" w:rsidR="002E627B" w:rsidRPr="005434DC" w:rsidRDefault="002E627B" w:rsidP="002E627B">
      <w:pPr>
        <w:spacing w:after="160" w:line="259" w:lineRule="auto"/>
        <w:contextualSpacing/>
        <w:rPr>
          <w:rFonts w:ascii="Arial Narrow" w:eastAsia="Times New Roman" w:hAnsi="Arial Narrow" w:cs="Times New Roman"/>
          <w:b/>
          <w:bCs/>
          <w:sz w:val="24"/>
          <w:szCs w:val="24"/>
        </w:rPr>
      </w:pPr>
      <w:r>
        <w:rPr>
          <w:rFonts w:ascii="Arial Narrow" w:hAnsi="Arial Narrow"/>
          <w:b/>
          <w:sz w:val="24"/>
        </w:rPr>
        <w:t>Parmi les produits spécialisés présentés sur le stand :</w:t>
      </w:r>
    </w:p>
    <w:p w14:paraId="7C628D2B" w14:textId="7424A6E4" w:rsidR="00CC3010" w:rsidRPr="00CC3010" w:rsidRDefault="002E627B" w:rsidP="00CC3010">
      <w:pPr>
        <w:pStyle w:val="ListParagraph"/>
        <w:numPr>
          <w:ilvl w:val="0"/>
          <w:numId w:val="7"/>
        </w:numPr>
        <w:spacing w:after="160" w:line="259" w:lineRule="auto"/>
        <w:rPr>
          <w:rFonts w:ascii="Arial Narrow" w:hAnsi="Arial Narrow"/>
        </w:rPr>
      </w:pPr>
      <w:r>
        <w:rPr>
          <w:rFonts w:ascii="Arial Narrow" w:hAnsi="Arial Narrow"/>
        </w:rPr>
        <w:t>Une gamme complète d’encres et de vernis sérigraphiques pour les étiquettes spécialisées, y compris des blancs opaques, des produits conformes aux normes alimentaires, des produits tactiles et entièrement mats, et plus encore.</w:t>
      </w:r>
    </w:p>
    <w:p w14:paraId="682A1FF4" w14:textId="77777777" w:rsidR="00CC3010" w:rsidRPr="005F5FB4" w:rsidRDefault="00CC3010" w:rsidP="00CC3010">
      <w:pPr>
        <w:pStyle w:val="ListParagraph"/>
        <w:spacing w:after="160" w:line="259" w:lineRule="auto"/>
        <w:rPr>
          <w:rFonts w:ascii="Arial Narrow" w:hAnsi="Arial Narrow"/>
        </w:rPr>
      </w:pPr>
    </w:p>
    <w:p w14:paraId="494EEDE0" w14:textId="30000D62" w:rsidR="005434DC" w:rsidRPr="00CC3010" w:rsidRDefault="002E627B" w:rsidP="002E627B">
      <w:pPr>
        <w:pStyle w:val="ListParagraph"/>
        <w:numPr>
          <w:ilvl w:val="0"/>
          <w:numId w:val="7"/>
        </w:numPr>
        <w:spacing w:after="160" w:line="259" w:lineRule="auto"/>
        <w:rPr>
          <w:rFonts w:ascii="Arial Narrow" w:hAnsi="Arial Narrow"/>
        </w:rPr>
      </w:pPr>
      <w:r>
        <w:rPr>
          <w:rFonts w:ascii="Arial Narrow" w:hAnsi="Arial Narrow"/>
        </w:rPr>
        <w:t xml:space="preserve">Une nouvelle gamme d’encres noires </w:t>
      </w:r>
      <w:proofErr w:type="spellStart"/>
      <w:r>
        <w:rPr>
          <w:rFonts w:ascii="Arial Narrow" w:hAnsi="Arial Narrow"/>
        </w:rPr>
        <w:t>SolarWave</w:t>
      </w:r>
      <w:proofErr w:type="spellEnd"/>
      <w:r>
        <w:rPr>
          <w:rFonts w:ascii="Arial Narrow" w:hAnsi="Arial Narrow"/>
        </w:rPr>
        <w:t xml:space="preserve"> </w:t>
      </w:r>
      <w:r>
        <w:rPr>
          <w:rFonts w:ascii="Arial Narrow" w:hAnsi="Arial Narrow"/>
          <w:b/>
          <w:bCs/>
        </w:rPr>
        <w:t>Panther</w:t>
      </w:r>
      <w:r>
        <w:rPr>
          <w:rFonts w:ascii="Arial Narrow" w:hAnsi="Arial Narrow"/>
        </w:rPr>
        <w:t xml:space="preserve"> flexo UV LED hautes performances.</w:t>
      </w:r>
    </w:p>
    <w:p w14:paraId="55E24EE4" w14:textId="77777777" w:rsidR="00CC3010" w:rsidRPr="005F5FB4" w:rsidRDefault="00CC3010" w:rsidP="00CC3010">
      <w:pPr>
        <w:pStyle w:val="ListParagraph"/>
        <w:spacing w:after="160" w:line="259" w:lineRule="auto"/>
        <w:rPr>
          <w:rFonts w:ascii="Arial Narrow" w:hAnsi="Arial Narrow"/>
        </w:rPr>
      </w:pPr>
    </w:p>
    <w:p w14:paraId="0152CBC4" w14:textId="419DE07E" w:rsidR="002E627B" w:rsidRDefault="002E627B" w:rsidP="00D334ED">
      <w:pPr>
        <w:pStyle w:val="ListParagraph"/>
        <w:numPr>
          <w:ilvl w:val="0"/>
          <w:numId w:val="7"/>
        </w:numPr>
        <w:spacing w:after="160" w:line="259" w:lineRule="auto"/>
        <w:rPr>
          <w:rFonts w:ascii="Arial Narrow" w:hAnsi="Arial Narrow"/>
        </w:rPr>
      </w:pPr>
      <w:r>
        <w:rPr>
          <w:rFonts w:ascii="Arial Narrow" w:hAnsi="Arial Narrow"/>
        </w:rPr>
        <w:t xml:space="preserve">La gamme </w:t>
      </w:r>
      <w:r>
        <w:rPr>
          <w:rFonts w:ascii="Arial Narrow" w:hAnsi="Arial Narrow"/>
          <w:b/>
          <w:bCs/>
        </w:rPr>
        <w:t>SunInspire</w:t>
      </w:r>
      <w:r>
        <w:rPr>
          <w:rFonts w:ascii="Arial Narrow" w:hAnsi="Arial Narrow"/>
        </w:rPr>
        <w:t xml:space="preserve"> de produits à effets spéciaux, y compris </w:t>
      </w:r>
      <w:proofErr w:type="spellStart"/>
      <w:r>
        <w:rPr>
          <w:rFonts w:ascii="Arial Narrow" w:hAnsi="Arial Narrow"/>
          <w:b/>
          <w:bCs/>
        </w:rPr>
        <w:t>MirrorTech</w:t>
      </w:r>
      <w:proofErr w:type="spellEnd"/>
      <w:r>
        <w:rPr>
          <w:rFonts w:ascii="Arial Narrow" w:hAnsi="Arial Narrow"/>
        </w:rPr>
        <w:t>, une solution de remplacement de films imprimables.</w:t>
      </w:r>
    </w:p>
    <w:p w14:paraId="7324F16D" w14:textId="77777777" w:rsidR="00C45E93" w:rsidRPr="005F5FB4" w:rsidRDefault="00C45E93" w:rsidP="0030735E">
      <w:pPr>
        <w:pStyle w:val="ListParagraph"/>
        <w:rPr>
          <w:rFonts w:ascii="Arial Narrow" w:hAnsi="Arial Narrow"/>
        </w:rPr>
      </w:pPr>
    </w:p>
    <w:p w14:paraId="7C3AB454" w14:textId="6F9802C9" w:rsidR="00C45E93" w:rsidRPr="00D334ED" w:rsidRDefault="00C45E93" w:rsidP="00D334ED">
      <w:pPr>
        <w:pStyle w:val="ListParagraph"/>
        <w:numPr>
          <w:ilvl w:val="0"/>
          <w:numId w:val="7"/>
        </w:numPr>
        <w:spacing w:after="160" w:line="259" w:lineRule="auto"/>
        <w:rPr>
          <w:rFonts w:ascii="Arial Narrow" w:hAnsi="Arial Narrow"/>
        </w:rPr>
      </w:pPr>
      <w:r>
        <w:rPr>
          <w:rFonts w:ascii="Arial Narrow" w:hAnsi="Arial Narrow"/>
        </w:rPr>
        <w:t>Des gammes de produits métallisés pour l’impression flexo et offset adaptés au séchage UV LED et Hg UV pour les applications standards et conformes aux normes de migration.</w:t>
      </w:r>
    </w:p>
    <w:p w14:paraId="2C6A2474" w14:textId="77777777" w:rsidR="00E67DCD" w:rsidRPr="005F5FB4" w:rsidRDefault="00E67DCD" w:rsidP="00E67DCD">
      <w:pPr>
        <w:pStyle w:val="ListParagraph"/>
        <w:spacing w:after="160" w:line="259" w:lineRule="auto"/>
        <w:rPr>
          <w:rFonts w:ascii="Arial Narrow" w:hAnsi="Arial Narrow"/>
        </w:rPr>
      </w:pPr>
    </w:p>
    <w:p w14:paraId="605FDA85" w14:textId="4DF68833" w:rsidR="002E627B" w:rsidRPr="00D334ED" w:rsidRDefault="002E627B" w:rsidP="00D334ED">
      <w:pPr>
        <w:pStyle w:val="ListParagraph"/>
        <w:numPr>
          <w:ilvl w:val="0"/>
          <w:numId w:val="7"/>
        </w:numPr>
        <w:spacing w:after="160" w:line="259" w:lineRule="auto"/>
        <w:rPr>
          <w:rFonts w:ascii="Arial Narrow" w:hAnsi="Arial Narrow"/>
        </w:rPr>
      </w:pPr>
      <w:r>
        <w:rPr>
          <w:rFonts w:ascii="Arial Narrow" w:hAnsi="Arial Narrow"/>
        </w:rPr>
        <w:t>Encres pour l’électronique imprimée/les antennes, pour les étiquettes intelligentes et la RFID.</w:t>
      </w:r>
    </w:p>
    <w:p w14:paraId="1A3EB24B" w14:textId="77777777" w:rsidR="000E4C39" w:rsidRPr="005F5FB4" w:rsidRDefault="000E4C39" w:rsidP="002E627B">
      <w:pPr>
        <w:spacing w:after="160" w:line="259" w:lineRule="auto"/>
        <w:contextualSpacing/>
        <w:rPr>
          <w:rFonts w:ascii="Arial Narrow" w:eastAsia="Times New Roman" w:hAnsi="Arial Narrow" w:cs="Times New Roman"/>
          <w:sz w:val="24"/>
          <w:szCs w:val="24"/>
        </w:rPr>
      </w:pPr>
    </w:p>
    <w:p w14:paraId="584F029F" w14:textId="72BB5C36" w:rsidR="002E627B" w:rsidRPr="003B579E" w:rsidRDefault="00191B47" w:rsidP="002E627B">
      <w:pPr>
        <w:spacing w:after="160" w:line="259" w:lineRule="auto"/>
        <w:contextualSpacing/>
        <w:rPr>
          <w:rFonts w:ascii="Arial Narrow" w:eastAsia="Times New Roman" w:hAnsi="Arial Narrow" w:cs="Times New Roman"/>
          <w:b/>
          <w:bCs/>
          <w:sz w:val="24"/>
          <w:szCs w:val="24"/>
        </w:rPr>
      </w:pPr>
      <w:r>
        <w:rPr>
          <w:rFonts w:ascii="Arial Narrow" w:hAnsi="Arial Narrow"/>
          <w:b/>
          <w:sz w:val="24"/>
        </w:rPr>
        <w:t>Parmi les solutions visant à améliorer la productivité et l’efficacité :</w:t>
      </w:r>
    </w:p>
    <w:p w14:paraId="4CE6DC44" w14:textId="2D22CD35" w:rsidR="00340DB8" w:rsidRDefault="0078031D" w:rsidP="0078031D">
      <w:pPr>
        <w:pStyle w:val="ListParagraph"/>
        <w:numPr>
          <w:ilvl w:val="0"/>
          <w:numId w:val="8"/>
        </w:numPr>
        <w:spacing w:after="160" w:line="259" w:lineRule="auto"/>
        <w:rPr>
          <w:rFonts w:ascii="Arial Narrow" w:hAnsi="Arial Narrow"/>
        </w:rPr>
      </w:pPr>
      <w:r>
        <w:rPr>
          <w:rFonts w:ascii="Arial Narrow" w:hAnsi="Arial Narrow"/>
        </w:rPr>
        <w:t>Des solutions de dosage adaptées pour les petits et les grands transformateurs.</w:t>
      </w:r>
    </w:p>
    <w:p w14:paraId="07EC789D" w14:textId="77777777" w:rsidR="0078031D" w:rsidRPr="005F5FB4" w:rsidRDefault="0078031D" w:rsidP="00431BD5">
      <w:pPr>
        <w:pStyle w:val="ListParagraph"/>
        <w:rPr>
          <w:rFonts w:ascii="Arial Narrow" w:hAnsi="Arial Narrow"/>
        </w:rPr>
      </w:pPr>
    </w:p>
    <w:p w14:paraId="5964B7CF" w14:textId="14E1017D" w:rsidR="0078031D" w:rsidRPr="00431BD5" w:rsidRDefault="003E13E9" w:rsidP="00F4181A">
      <w:pPr>
        <w:pStyle w:val="ListParagraph"/>
        <w:numPr>
          <w:ilvl w:val="0"/>
          <w:numId w:val="8"/>
        </w:numPr>
        <w:spacing w:after="160" w:line="259" w:lineRule="auto"/>
        <w:rPr>
          <w:rFonts w:ascii="Arial Narrow" w:hAnsi="Arial Narrow"/>
        </w:rPr>
      </w:pPr>
      <w:r>
        <w:rPr>
          <w:rFonts w:ascii="Arial Narrow" w:hAnsi="Arial Narrow"/>
        </w:rPr>
        <w:t xml:space="preserve">Sun Chemical présentera également sa propre solution de gamut de couleur étendu (ECG), </w:t>
      </w:r>
      <w:proofErr w:type="spellStart"/>
      <w:r>
        <w:rPr>
          <w:rFonts w:ascii="Arial Narrow" w:hAnsi="Arial Narrow"/>
        </w:rPr>
        <w:t>SunECG</w:t>
      </w:r>
      <w:proofErr w:type="spellEnd"/>
      <w:r>
        <w:rPr>
          <w:rFonts w:ascii="Arial Narrow" w:hAnsi="Arial Narrow"/>
        </w:rPr>
        <w:t xml:space="preserve">. Partie intégrante de SunColorBox, </w:t>
      </w:r>
      <w:proofErr w:type="spellStart"/>
      <w:r>
        <w:rPr>
          <w:rFonts w:ascii="Arial Narrow" w:hAnsi="Arial Narrow"/>
        </w:rPr>
        <w:t>SunECG</w:t>
      </w:r>
      <w:proofErr w:type="spellEnd"/>
      <w:r>
        <w:rPr>
          <w:rFonts w:ascii="Arial Narrow" w:hAnsi="Arial Narrow"/>
        </w:rPr>
        <w:t xml:space="preserve"> est un ensemble unique d’outils et de services permettant une communication régulière et précise des couleurs numériques tout au long de la chaîne d’approvisionnement d’emballage. </w:t>
      </w:r>
      <w:proofErr w:type="spellStart"/>
      <w:r>
        <w:rPr>
          <w:rFonts w:ascii="Arial Narrow" w:hAnsi="Arial Narrow"/>
        </w:rPr>
        <w:t>SunECG</w:t>
      </w:r>
      <w:proofErr w:type="spellEnd"/>
      <w:r>
        <w:rPr>
          <w:rFonts w:ascii="Arial Narrow" w:hAnsi="Arial Narrow"/>
        </w:rPr>
        <w:t xml:space="preserve"> réduit les temps de transition et de calage pour les travaux d’impression multiples grâce à l’impression à gamut de couleur étendu.</w:t>
      </w:r>
    </w:p>
    <w:p w14:paraId="2EE40E91" w14:textId="77777777" w:rsidR="002E627B" w:rsidRPr="005F5FB4" w:rsidRDefault="002E627B" w:rsidP="002E627B">
      <w:pPr>
        <w:spacing w:after="160" w:line="259" w:lineRule="auto"/>
        <w:contextualSpacing/>
        <w:rPr>
          <w:rFonts w:ascii="Arial Narrow" w:eastAsia="Times New Roman" w:hAnsi="Arial Narrow" w:cs="Times New Roman"/>
          <w:sz w:val="24"/>
          <w:szCs w:val="24"/>
        </w:rPr>
      </w:pPr>
    </w:p>
    <w:p w14:paraId="7E0FA112" w14:textId="26C6CE6B" w:rsidR="002E627B" w:rsidRPr="00534563" w:rsidRDefault="00534563" w:rsidP="002E627B">
      <w:pPr>
        <w:spacing w:after="160" w:line="259" w:lineRule="auto"/>
        <w:contextualSpacing/>
        <w:rPr>
          <w:rFonts w:ascii="Arial Narrow" w:eastAsia="Times New Roman" w:hAnsi="Arial Narrow" w:cs="Times New Roman"/>
          <w:b/>
          <w:bCs/>
          <w:sz w:val="24"/>
          <w:szCs w:val="24"/>
        </w:rPr>
      </w:pPr>
      <w:r>
        <w:rPr>
          <w:rFonts w:ascii="Arial Narrow" w:hAnsi="Arial Narrow"/>
          <w:b/>
          <w:sz w:val="24"/>
        </w:rPr>
        <w:t xml:space="preserve">Solutions jet d’encre numériques </w:t>
      </w:r>
    </w:p>
    <w:p w14:paraId="6A91BDF1" w14:textId="77777777" w:rsidR="00534563" w:rsidRPr="005F5FB4" w:rsidRDefault="00534563" w:rsidP="002E627B">
      <w:pPr>
        <w:spacing w:after="160" w:line="259" w:lineRule="auto"/>
        <w:contextualSpacing/>
        <w:rPr>
          <w:rFonts w:ascii="Arial Narrow" w:eastAsia="Times New Roman" w:hAnsi="Arial Narrow" w:cs="Times New Roman"/>
          <w:sz w:val="24"/>
          <w:szCs w:val="24"/>
        </w:rPr>
      </w:pPr>
    </w:p>
    <w:p w14:paraId="66D8C44A" w14:textId="480FBF18" w:rsidR="002E627B" w:rsidRDefault="002E627B" w:rsidP="002E627B">
      <w:pPr>
        <w:spacing w:after="160" w:line="259" w:lineRule="auto"/>
        <w:contextualSpacing/>
        <w:rPr>
          <w:rFonts w:ascii="Arial Narrow" w:eastAsia="Times New Roman" w:hAnsi="Arial Narrow" w:cs="Times New Roman"/>
          <w:sz w:val="24"/>
          <w:szCs w:val="24"/>
        </w:rPr>
      </w:pPr>
      <w:r>
        <w:rPr>
          <w:rFonts w:ascii="Arial Narrow" w:hAnsi="Arial Narrow"/>
          <w:sz w:val="24"/>
        </w:rPr>
        <w:t xml:space="preserve">Les encres jet d’encre </w:t>
      </w:r>
      <w:r>
        <w:rPr>
          <w:rFonts w:ascii="Arial Narrow" w:hAnsi="Arial Narrow"/>
          <w:b/>
          <w:bCs/>
          <w:sz w:val="24"/>
        </w:rPr>
        <w:t>SunJet</w:t>
      </w:r>
      <w:r>
        <w:rPr>
          <w:rFonts w:ascii="Arial Narrow" w:hAnsi="Arial Narrow"/>
          <w:sz w:val="24"/>
        </w:rPr>
        <w:t xml:space="preserve"> pour les étiquettes et les applications d’emballage seront un autre fleuron du stand de Sun Chemical. Grâce à une technologie éprouvée, acquise au cours de nombreuses années de développement et de fabrication d’encres jet d’encre pour des constructeurs et des partenaires d’intégration du monde entier, il est désormais possible de répondre aux exigences les plus récentes et les plus strictes en matière d’applications et de conformité réglementaire pour toutes les configurations de têtes d’impression et de presses. Grâce à ses installations de production jet d’encre aux États-Unis, en Europe, en Chine et au Japon, SunJet peut fournir des encres jet d’encre UV, LED et aqueuses avec une durée de conservation maximale ainsi qu’une empreinte environnementale et des coûts réduits.</w:t>
      </w:r>
    </w:p>
    <w:p w14:paraId="5091CEBD" w14:textId="77777777" w:rsidR="00303506" w:rsidRPr="005F5FB4" w:rsidRDefault="00303506" w:rsidP="002E627B">
      <w:pPr>
        <w:spacing w:after="160" w:line="259" w:lineRule="auto"/>
        <w:contextualSpacing/>
        <w:rPr>
          <w:rFonts w:ascii="Arial Narrow" w:eastAsia="Times New Roman" w:hAnsi="Arial Narrow" w:cs="Times New Roman"/>
          <w:sz w:val="24"/>
          <w:szCs w:val="24"/>
        </w:rPr>
      </w:pPr>
    </w:p>
    <w:p w14:paraId="24EF36A2" w14:textId="4AE0DBBD" w:rsidR="002E627B" w:rsidRDefault="002E627B" w:rsidP="002E627B">
      <w:pPr>
        <w:spacing w:after="160" w:line="259" w:lineRule="auto"/>
        <w:contextualSpacing/>
        <w:rPr>
          <w:rFonts w:ascii="Arial Narrow" w:eastAsia="Times New Roman" w:hAnsi="Arial Narrow" w:cs="Times New Roman"/>
          <w:sz w:val="24"/>
          <w:szCs w:val="24"/>
        </w:rPr>
      </w:pPr>
      <w:r>
        <w:rPr>
          <w:rFonts w:ascii="Arial Narrow" w:hAnsi="Arial Narrow"/>
          <w:sz w:val="24"/>
        </w:rPr>
        <w:lastRenderedPageBreak/>
        <w:t>SunJet est le fournisseur de choix de la plupart des fabricants et intégrateurs du secteur des étiquettes. La technologie jet d’encre étant de plus en plus employée pour les applications d’emballage, l’étendue et la richesse de l’expertise de Sun Chemical sur le marché de l’emballage au sens large contribuent à la diffusion des encres jet d’encre SunJet dans ce secteur en plein essor.</w:t>
      </w:r>
    </w:p>
    <w:p w14:paraId="3832B302" w14:textId="77777777" w:rsidR="00A97ACC" w:rsidRPr="005F5FB4" w:rsidRDefault="00A97ACC" w:rsidP="002E627B">
      <w:pPr>
        <w:spacing w:after="160" w:line="259" w:lineRule="auto"/>
        <w:contextualSpacing/>
        <w:rPr>
          <w:rFonts w:ascii="Arial Narrow" w:eastAsia="Times New Roman" w:hAnsi="Arial Narrow" w:cs="Times New Roman"/>
          <w:sz w:val="24"/>
          <w:szCs w:val="24"/>
        </w:rPr>
      </w:pPr>
    </w:p>
    <w:p w14:paraId="1976F849" w14:textId="19FF32EA" w:rsidR="005430FF" w:rsidRPr="00431BD5" w:rsidRDefault="00A8558D" w:rsidP="002E627B">
      <w:pPr>
        <w:spacing w:after="160" w:line="259" w:lineRule="auto"/>
        <w:contextualSpacing/>
        <w:rPr>
          <w:rFonts w:ascii="Arial Narrow" w:eastAsia="Times New Roman" w:hAnsi="Arial Narrow" w:cs="Times New Roman"/>
          <w:sz w:val="24"/>
          <w:szCs w:val="24"/>
        </w:rPr>
      </w:pPr>
      <w:r>
        <w:rPr>
          <w:rFonts w:ascii="Arial Narrow" w:hAnsi="Arial Narrow"/>
          <w:sz w:val="24"/>
        </w:rPr>
        <w:t xml:space="preserve">Les dernières offres de </w:t>
      </w:r>
      <w:proofErr w:type="spellStart"/>
      <w:r>
        <w:rPr>
          <w:rFonts w:ascii="Arial Narrow" w:hAnsi="Arial Narrow"/>
          <w:b/>
          <w:bCs/>
          <w:sz w:val="24"/>
        </w:rPr>
        <w:t>SunEvo</w:t>
      </w:r>
      <w:proofErr w:type="spellEnd"/>
      <w:r>
        <w:rPr>
          <w:rFonts w:ascii="Arial Narrow" w:hAnsi="Arial Narrow"/>
          <w:sz w:val="24"/>
        </w:rPr>
        <w:t xml:space="preserve"> pour les emballages imprimés en numérique seront également présentées. </w:t>
      </w:r>
      <w:proofErr w:type="spellStart"/>
      <w:r>
        <w:rPr>
          <w:rFonts w:ascii="Arial Narrow" w:hAnsi="Arial Narrow"/>
          <w:b/>
          <w:bCs/>
          <w:sz w:val="24"/>
        </w:rPr>
        <w:t>SunEvo</w:t>
      </w:r>
      <w:proofErr w:type="spellEnd"/>
      <w:r>
        <w:rPr>
          <w:rFonts w:ascii="Arial Narrow" w:hAnsi="Arial Narrow"/>
          <w:sz w:val="24"/>
        </w:rPr>
        <w:t xml:space="preserve"> est une boîte à outils unique composée d’apprêts, de vernis et d’adhésifs de pelliculage appliqués par procédé analogique qui optimisent les emballages imprimés en numérique. Les vernis numériques </w:t>
      </w:r>
      <w:proofErr w:type="spellStart"/>
      <w:r>
        <w:rPr>
          <w:rFonts w:ascii="Arial Narrow" w:hAnsi="Arial Narrow"/>
          <w:b/>
          <w:bCs/>
          <w:sz w:val="24"/>
        </w:rPr>
        <w:t>SunEvo</w:t>
      </w:r>
      <w:proofErr w:type="spellEnd"/>
      <w:r>
        <w:rPr>
          <w:rFonts w:ascii="Arial Narrow" w:hAnsi="Arial Narrow"/>
          <w:sz w:val="24"/>
        </w:rPr>
        <w:t xml:space="preserve"> vont des apprêts sur mesure pour une variété de supports et d’applications d’impression aux vernis de surimpression, aux promoteurs d’adhérence et aux adhésifs de pelliculage optimisés pour une utilisation en combinaison avec des encres numériques.</w:t>
      </w:r>
    </w:p>
    <w:p w14:paraId="6EB790FB" w14:textId="77777777" w:rsidR="005430FF" w:rsidRPr="005F5FB4" w:rsidRDefault="005430FF" w:rsidP="002E627B">
      <w:pPr>
        <w:spacing w:after="160" w:line="259" w:lineRule="auto"/>
        <w:contextualSpacing/>
        <w:rPr>
          <w:rFonts w:ascii="Arial Narrow" w:eastAsia="Times New Roman" w:hAnsi="Arial Narrow" w:cs="Times New Roman"/>
          <w:sz w:val="24"/>
          <w:szCs w:val="24"/>
        </w:rPr>
      </w:pPr>
    </w:p>
    <w:p w14:paraId="7E2FC4D6" w14:textId="6CAE0D32" w:rsidR="00C02CFF" w:rsidRPr="005F5FB4" w:rsidRDefault="002E627B" w:rsidP="002E627B">
      <w:pPr>
        <w:spacing w:after="160" w:line="259" w:lineRule="auto"/>
        <w:contextualSpacing/>
        <w:rPr>
          <w:rFonts w:ascii="Arial Narrow" w:eastAsia="Times New Roman" w:hAnsi="Arial Narrow" w:cs="Times New Roman"/>
          <w:sz w:val="24"/>
          <w:szCs w:val="24"/>
        </w:rPr>
      </w:pPr>
      <w:r>
        <w:rPr>
          <w:rFonts w:ascii="Arial Narrow" w:hAnsi="Arial Narrow"/>
          <w:b/>
          <w:bCs/>
          <w:sz w:val="24"/>
        </w:rPr>
        <w:t>Luminescence</w:t>
      </w:r>
      <w:r>
        <w:rPr>
          <w:rFonts w:ascii="Arial Narrow" w:hAnsi="Arial Narrow"/>
          <w:sz w:val="24"/>
        </w:rPr>
        <w:t>, l’unité commerciale dédiée aux solutions de sécurité de Sun Chemical, présentera également sa large gamme de solutions de sécurité de haute qualité pour aider à protéger les applications en petite laize de grande valeur contre la contrefaçon.</w:t>
      </w:r>
    </w:p>
    <w:p w14:paraId="52B57C5A" w14:textId="77777777" w:rsidR="00BC397C" w:rsidRPr="005F5FB4" w:rsidRDefault="00BC397C" w:rsidP="00BC397C">
      <w:pPr>
        <w:spacing w:after="160" w:line="259" w:lineRule="auto"/>
        <w:contextualSpacing/>
        <w:rPr>
          <w:rFonts w:ascii="Arial Narrow" w:eastAsia="Times New Roman" w:hAnsi="Arial Narrow" w:cs="Times New Roman"/>
          <w:sz w:val="24"/>
          <w:szCs w:val="24"/>
          <w:highlight w:val="yellow"/>
        </w:rPr>
      </w:pPr>
    </w:p>
    <w:p w14:paraId="7C4F2D2D" w14:textId="2EB7F387" w:rsidR="00D62A8E" w:rsidRPr="00820A05" w:rsidRDefault="003E7091" w:rsidP="00D62A8E">
      <w:pPr>
        <w:spacing w:after="160" w:line="259" w:lineRule="auto"/>
        <w:contextualSpacing/>
        <w:rPr>
          <w:rFonts w:ascii="Arial Narrow" w:eastAsia="Times New Roman" w:hAnsi="Arial Narrow" w:cs="Times New Roman"/>
          <w:sz w:val="24"/>
          <w:szCs w:val="24"/>
        </w:rPr>
      </w:pPr>
      <w:r>
        <w:rPr>
          <w:rFonts w:ascii="Arial Narrow" w:hAnsi="Arial Narrow"/>
          <w:sz w:val="24"/>
        </w:rPr>
        <w:t xml:space="preserve">Nicolas </w:t>
      </w:r>
      <w:proofErr w:type="spellStart"/>
      <w:r>
        <w:rPr>
          <w:rFonts w:ascii="Arial Narrow" w:hAnsi="Arial Narrow"/>
          <w:sz w:val="24"/>
        </w:rPr>
        <w:t>Betin</w:t>
      </w:r>
      <w:proofErr w:type="spellEnd"/>
      <w:r>
        <w:rPr>
          <w:rFonts w:ascii="Arial Narrow" w:hAnsi="Arial Narrow"/>
          <w:sz w:val="24"/>
        </w:rPr>
        <w:t>, directeur de la stratégie produit, EMEA et responsable mondial de la durabilité chez Sun Chemical, explique : « après une interruption de quatre ans, le salon Labelexpo Europe 2023 constitue une occasion précieuse pour Sun Chemical de promouvoir ses solutions durables destinées aux marchés des étiquettes et des emballages souples, et de démontrer notre engagement à œuvrer en faveur d’une économie circulaire. Pour atteindre cet objectif, il est essentiel que nous prenions nous-mêmes des décisions durables, tout en permettant à nos clients et à nos partenaires de faire de même. »  </w:t>
      </w:r>
    </w:p>
    <w:p w14:paraId="270754C0" w14:textId="4F7A80A0" w:rsidR="00C96211" w:rsidRPr="00C96211" w:rsidRDefault="00D62A8E" w:rsidP="00C96211">
      <w:pPr>
        <w:spacing w:after="160" w:line="259" w:lineRule="auto"/>
        <w:contextualSpacing/>
        <w:rPr>
          <w:rFonts w:ascii="Arial Narrow" w:eastAsia="Times New Roman" w:hAnsi="Arial Narrow" w:cs="Times New Roman"/>
          <w:sz w:val="24"/>
          <w:szCs w:val="24"/>
        </w:rPr>
      </w:pPr>
      <w:r>
        <w:rPr>
          <w:rFonts w:ascii="Arial Narrow" w:hAnsi="Arial Narrow"/>
          <w:sz w:val="24"/>
        </w:rPr>
        <w:t> </w:t>
      </w:r>
    </w:p>
    <w:p w14:paraId="596D235B" w14:textId="3A9B18B2" w:rsidR="00F747E0" w:rsidRPr="002E627B" w:rsidRDefault="00F747E0" w:rsidP="00F747E0">
      <w:pPr>
        <w:spacing w:after="160" w:line="259" w:lineRule="auto"/>
        <w:contextualSpacing/>
        <w:rPr>
          <w:rFonts w:ascii="Arial Narrow" w:eastAsia="Times New Roman" w:hAnsi="Arial Narrow" w:cs="Times New Roman"/>
          <w:sz w:val="24"/>
          <w:szCs w:val="24"/>
        </w:rPr>
      </w:pPr>
      <w:r>
        <w:rPr>
          <w:rFonts w:ascii="Arial Narrow" w:hAnsi="Arial Narrow"/>
          <w:sz w:val="24"/>
        </w:rPr>
        <w:t>Pour en savoir plus, rendez-vous sur le stand de Sun Chemical à Bruxelles, en Belgique, du 11 au 14 septembre, ou sur le site</w:t>
      </w:r>
      <w:r w:rsidR="00A07D81">
        <w:rPr>
          <w:rFonts w:ascii="Arial Narrow" w:hAnsi="Arial Narrow"/>
          <w:sz w:val="24"/>
        </w:rPr>
        <w:t xml:space="preserve"> </w:t>
      </w:r>
      <w:r>
        <w:rPr>
          <w:rFonts w:ascii="Arial Narrow" w:hAnsi="Arial Narrow"/>
          <w:sz w:val="24"/>
        </w:rPr>
        <w:t xml:space="preserve">: </w:t>
      </w:r>
      <w:r w:rsidR="00A07D81" w:rsidRPr="00A07D81">
        <w:rPr>
          <w:rFonts w:ascii="Arial Narrow" w:hAnsi="Arial Narrow"/>
          <w:color w:val="0000FF"/>
          <w:sz w:val="24"/>
          <w:u w:val="single"/>
        </w:rPr>
        <w:t>w</w:t>
      </w:r>
      <w:hyperlink r:id="rId16" w:history="1">
        <w:r w:rsidR="00A07D81" w:rsidRPr="00A07D81">
          <w:rPr>
            <w:rStyle w:val="Hyperlink"/>
            <w:rFonts w:ascii="Arial Narrow" w:hAnsi="Arial Narrow"/>
            <w:color w:val="0000FF"/>
            <w:sz w:val="24"/>
          </w:rPr>
          <w:t>ww.sunchemical.com/labels-transform</w:t>
        </w:r>
      </w:hyperlink>
      <w:r w:rsidR="00A07D81">
        <w:rPr>
          <w:rFonts w:ascii="Arial Narrow" w:hAnsi="Arial Narrow"/>
          <w:sz w:val="24"/>
        </w:rPr>
        <w:t>.</w:t>
      </w:r>
    </w:p>
    <w:p w14:paraId="2E462461" w14:textId="77777777" w:rsidR="00E942AB" w:rsidRPr="005F5FB4" w:rsidRDefault="00E942AB" w:rsidP="00845E77">
      <w:pPr>
        <w:rPr>
          <w:rFonts w:ascii="Arial Narrow" w:eastAsia="Times New Roman" w:hAnsi="Arial Narrow" w:cstheme="minorHAnsi"/>
          <w:color w:val="000000"/>
          <w:sz w:val="20"/>
          <w:szCs w:val="20"/>
        </w:rPr>
      </w:pPr>
    </w:p>
    <w:p w14:paraId="5F65191E" w14:textId="3498D1C2" w:rsidR="00BE531A" w:rsidRDefault="00BE531A" w:rsidP="00BE531A">
      <w:pPr>
        <w:pStyle w:val="paragraph"/>
        <w:spacing w:before="0" w:beforeAutospacing="0" w:after="0" w:afterAutospacing="0"/>
        <w:ind w:left="2880" w:firstLine="720"/>
        <w:textAlignment w:val="baseline"/>
        <w:rPr>
          <w:rStyle w:val="eop"/>
          <w:rFonts w:ascii="Arial Narrow" w:hAnsi="Arial Narrow" w:cs="Segoe UI"/>
          <w:b/>
          <w:bCs/>
        </w:rPr>
      </w:pPr>
      <w:r>
        <w:rPr>
          <w:rStyle w:val="normaltextrun"/>
          <w:rFonts w:ascii="Arial Narrow" w:hAnsi="Arial Narrow"/>
          <w:b/>
        </w:rPr>
        <w:t>FIN</w:t>
      </w:r>
      <w:r>
        <w:rPr>
          <w:rStyle w:val="eop"/>
          <w:rFonts w:ascii="Arial Narrow" w:hAnsi="Arial Narrow"/>
          <w:b/>
        </w:rPr>
        <w:t> </w:t>
      </w:r>
    </w:p>
    <w:p w14:paraId="145898A2" w14:textId="77777777" w:rsidR="002332AE" w:rsidRPr="00191450" w:rsidRDefault="002332AE" w:rsidP="00BE531A">
      <w:pPr>
        <w:pStyle w:val="paragraph"/>
        <w:spacing w:before="0" w:beforeAutospacing="0" w:after="0" w:afterAutospacing="0"/>
        <w:ind w:left="2880" w:firstLine="720"/>
        <w:textAlignment w:val="baseline"/>
        <w:rPr>
          <w:rStyle w:val="eop"/>
          <w:rFonts w:ascii="Arial Narrow" w:hAnsi="Arial Narrow" w:cs="Segoe UI"/>
          <w:b/>
          <w:bCs/>
        </w:rPr>
      </w:pPr>
    </w:p>
    <w:p w14:paraId="33935DF9" w14:textId="77777777" w:rsidR="00BF41AF" w:rsidRPr="005B4ECD" w:rsidRDefault="00BF41AF" w:rsidP="00BF41AF">
      <w:pPr>
        <w:rPr>
          <w:rFonts w:ascii="Arial Narrow" w:eastAsia="Times New Roman" w:hAnsi="Arial Narrow"/>
          <w:b/>
          <w:sz w:val="24"/>
          <w:szCs w:val="24"/>
        </w:rPr>
      </w:pPr>
      <w:r>
        <w:rPr>
          <w:rFonts w:ascii="Arial Narrow" w:hAnsi="Arial Narrow"/>
          <w:b/>
          <w:sz w:val="24"/>
        </w:rPr>
        <w:t xml:space="preserve">À propos de Sun Chemical </w:t>
      </w:r>
    </w:p>
    <w:p w14:paraId="3788F4DF" w14:textId="77777777" w:rsidR="00BF41AF" w:rsidRDefault="00BF41AF" w:rsidP="00BF41AF">
      <w:pPr>
        <w:rPr>
          <w:rFonts w:ascii="Arial Narrow" w:hAnsi="Arial Narrow"/>
          <w:sz w:val="24"/>
          <w:szCs w:val="24"/>
        </w:rPr>
      </w:pPr>
      <w:r>
        <w:rPr>
          <w:rFonts w:ascii="Arial Narrow" w:hAnsi="Arial Narrow"/>
          <w:sz w:val="24"/>
        </w:rPr>
        <w:t xml:space="preserve">Sun Chemical, membre du groupe DIC, est un producteur majeur de solutions d’emballage et de graphisme, de technologies de la couleur et de l’affichage, de produits fonctionnels, de matériel électronique et de produits pour les secteurs de l’automobile et des soins de santé. En collaboration avec DIC, Sun Chemical s’efforce en permanence de promouvoir et de développer des solutions durables afin de dépasser les attentes de ses clients et d’améliorer le monde qui nous entoure. Avec un chiffre d’affaires annuel combiné de plus de 8,5 milliards de dollars et plus de 22 000 employés dans le monde entier, les sociétés du groupe DIC accompagnent un ensemble diversifié de clients internationaux. </w:t>
      </w:r>
    </w:p>
    <w:p w14:paraId="1C26D991" w14:textId="77777777" w:rsidR="00BF41AF" w:rsidRPr="00AF5B3B" w:rsidRDefault="00BF41AF" w:rsidP="00BF41AF">
      <w:pPr>
        <w:rPr>
          <w:rFonts w:ascii="Arial Narrow" w:hAnsi="Arial Narrow"/>
          <w:sz w:val="24"/>
          <w:szCs w:val="24"/>
        </w:rPr>
      </w:pPr>
    </w:p>
    <w:p w14:paraId="1BFC27E6" w14:textId="138CACF4" w:rsidR="00BF41AF" w:rsidRPr="001A482F" w:rsidRDefault="00BF41AF">
      <w:pPr>
        <w:rPr>
          <w:rFonts w:ascii="Arial Narrow" w:hAnsi="Arial Narrow"/>
          <w:sz w:val="24"/>
          <w:szCs w:val="24"/>
        </w:rPr>
      </w:pPr>
      <w:r>
        <w:rPr>
          <w:rFonts w:ascii="Arial Narrow" w:hAnsi="Arial Narrow"/>
          <w:sz w:val="24"/>
        </w:rPr>
        <w:t xml:space="preserve">Sun Chemical Corporation est une filiale de Sun Chemical Group Coöperatief U.A., aux Pays-Bas, dont le siège est situé à </w:t>
      </w:r>
      <w:proofErr w:type="spellStart"/>
      <w:r>
        <w:rPr>
          <w:rFonts w:ascii="Arial Narrow" w:hAnsi="Arial Narrow"/>
          <w:sz w:val="24"/>
        </w:rPr>
        <w:t>Parsippany</w:t>
      </w:r>
      <w:proofErr w:type="spellEnd"/>
      <w:r>
        <w:rPr>
          <w:rFonts w:ascii="Arial Narrow" w:hAnsi="Arial Narrow"/>
          <w:sz w:val="24"/>
        </w:rPr>
        <w:t xml:space="preserve">, New Jersey, aux États-Unis. Pour en savoir plus, consultez notre site web à l’adresse </w:t>
      </w:r>
      <w:hyperlink r:id="rId17" w:history="1">
        <w:r>
          <w:rPr>
            <w:rStyle w:val="Hyperlink"/>
            <w:rFonts w:ascii="Arial Narrow" w:hAnsi="Arial Narrow"/>
            <w:sz w:val="24"/>
          </w:rPr>
          <w:t>www.sunchemical.com</w:t>
        </w:r>
      </w:hyperlink>
      <w:r>
        <w:rPr>
          <w:rFonts w:ascii="Arial Narrow" w:hAnsi="Arial Narrow"/>
          <w:sz w:val="24"/>
        </w:rPr>
        <w:t xml:space="preserve"> </w:t>
      </w:r>
      <w:r>
        <w:rPr>
          <w:rStyle w:val="normaltextrun"/>
          <w:rFonts w:ascii="Arial Narrow" w:hAnsi="Arial Narrow"/>
          <w:sz w:val="24"/>
        </w:rPr>
        <w:t xml:space="preserve">ou suivez-nous sur </w:t>
      </w:r>
      <w:hyperlink r:id="rId18" w:tgtFrame="_blank" w:history="1">
        <w:r>
          <w:rPr>
            <w:rStyle w:val="normaltextrun"/>
            <w:rFonts w:ascii="Arial Narrow" w:hAnsi="Arial Narrow"/>
            <w:color w:val="0000FF"/>
            <w:sz w:val="24"/>
          </w:rPr>
          <w:t>LinkedIn</w:t>
        </w:r>
      </w:hyperlink>
      <w:r>
        <w:rPr>
          <w:rStyle w:val="normaltextrun"/>
          <w:rFonts w:ascii="Arial Narrow" w:hAnsi="Arial Narrow"/>
          <w:color w:val="0000FF"/>
          <w:sz w:val="24"/>
        </w:rPr>
        <w:t> </w:t>
      </w:r>
      <w:r>
        <w:rPr>
          <w:rStyle w:val="normaltextrun"/>
          <w:rFonts w:ascii="Arial Narrow" w:hAnsi="Arial Narrow"/>
          <w:color w:val="000000" w:themeColor="text1"/>
          <w:sz w:val="24"/>
        </w:rPr>
        <w:t xml:space="preserve">ou </w:t>
      </w:r>
      <w:hyperlink r:id="rId19" w:tgtFrame="_blank" w:history="1">
        <w:r>
          <w:rPr>
            <w:rStyle w:val="normaltextrun"/>
            <w:rFonts w:ascii="Arial Narrow" w:hAnsi="Arial Narrow"/>
            <w:color w:val="0000FF"/>
            <w:sz w:val="24"/>
          </w:rPr>
          <w:t>Instagram</w:t>
        </w:r>
      </w:hyperlink>
      <w:r>
        <w:rPr>
          <w:rStyle w:val="normaltextrun"/>
          <w:rFonts w:ascii="Arial Narrow" w:hAnsi="Arial Narrow"/>
          <w:sz w:val="24"/>
        </w:rPr>
        <w:t>.</w:t>
      </w:r>
      <w:r>
        <w:t> </w:t>
      </w:r>
    </w:p>
    <w:sectPr w:rsidR="00BF41AF" w:rsidRPr="001A482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77E1" w14:textId="77777777" w:rsidR="0044246F" w:rsidRDefault="0044246F" w:rsidP="009A4E31">
      <w:r>
        <w:separator/>
      </w:r>
    </w:p>
  </w:endnote>
  <w:endnote w:type="continuationSeparator" w:id="0">
    <w:p w14:paraId="708D07D5" w14:textId="77777777" w:rsidR="0044246F" w:rsidRDefault="0044246F" w:rsidP="009A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2162" w14:textId="77777777" w:rsidR="009A4E31" w:rsidRDefault="009A4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0F6D" w14:textId="77777777" w:rsidR="009A4E31" w:rsidRDefault="009A4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A6FB" w14:textId="77777777" w:rsidR="009A4E31" w:rsidRDefault="009A4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477A" w14:textId="77777777" w:rsidR="0044246F" w:rsidRDefault="0044246F" w:rsidP="009A4E31">
      <w:r>
        <w:separator/>
      </w:r>
    </w:p>
  </w:footnote>
  <w:footnote w:type="continuationSeparator" w:id="0">
    <w:p w14:paraId="11572159" w14:textId="77777777" w:rsidR="0044246F" w:rsidRDefault="0044246F" w:rsidP="009A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6940" w14:textId="77777777" w:rsidR="009A4E31" w:rsidRDefault="009A4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69CE" w14:textId="77777777" w:rsidR="009A4E31" w:rsidRDefault="009A4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F4E0" w14:textId="77777777" w:rsidR="009A4E31" w:rsidRDefault="009A4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520120">
    <w:abstractNumId w:val="3"/>
  </w:num>
  <w:num w:numId="2" w16cid:durableId="1311834360">
    <w:abstractNumId w:val="4"/>
  </w:num>
  <w:num w:numId="3" w16cid:durableId="1467241041">
    <w:abstractNumId w:val="0"/>
  </w:num>
  <w:num w:numId="4" w16cid:durableId="629822382">
    <w:abstractNumId w:val="2"/>
  </w:num>
  <w:num w:numId="5" w16cid:durableId="45953311">
    <w:abstractNumId w:val="7"/>
  </w:num>
  <w:num w:numId="6" w16cid:durableId="614756084">
    <w:abstractNumId w:val="6"/>
  </w:num>
  <w:num w:numId="7" w16cid:durableId="518666044">
    <w:abstractNumId w:val="1"/>
  </w:num>
  <w:num w:numId="8" w16cid:durableId="1816339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21A5E"/>
    <w:rsid w:val="00076EDA"/>
    <w:rsid w:val="000A2703"/>
    <w:rsid w:val="000B2B2D"/>
    <w:rsid w:val="000B6450"/>
    <w:rsid w:val="000B7C3E"/>
    <w:rsid w:val="000D7D0C"/>
    <w:rsid w:val="000E16DE"/>
    <w:rsid w:val="000E4C39"/>
    <w:rsid w:val="00101829"/>
    <w:rsid w:val="00105EEE"/>
    <w:rsid w:val="001350EE"/>
    <w:rsid w:val="00140578"/>
    <w:rsid w:val="0014433F"/>
    <w:rsid w:val="0015143F"/>
    <w:rsid w:val="0017556D"/>
    <w:rsid w:val="001861D4"/>
    <w:rsid w:val="00191B47"/>
    <w:rsid w:val="001A482F"/>
    <w:rsid w:val="001A626C"/>
    <w:rsid w:val="001A6AA0"/>
    <w:rsid w:val="001B06E0"/>
    <w:rsid w:val="001E1169"/>
    <w:rsid w:val="002069F9"/>
    <w:rsid w:val="00215B55"/>
    <w:rsid w:val="00225F85"/>
    <w:rsid w:val="002332AE"/>
    <w:rsid w:val="0024229C"/>
    <w:rsid w:val="00242E6C"/>
    <w:rsid w:val="00275352"/>
    <w:rsid w:val="002B0FF1"/>
    <w:rsid w:val="002C130F"/>
    <w:rsid w:val="002C5192"/>
    <w:rsid w:val="002C614E"/>
    <w:rsid w:val="002E627B"/>
    <w:rsid w:val="00303506"/>
    <w:rsid w:val="0030735E"/>
    <w:rsid w:val="003116B7"/>
    <w:rsid w:val="003116B9"/>
    <w:rsid w:val="0031532B"/>
    <w:rsid w:val="003168CC"/>
    <w:rsid w:val="00324F56"/>
    <w:rsid w:val="00330366"/>
    <w:rsid w:val="00335C51"/>
    <w:rsid w:val="00340DB8"/>
    <w:rsid w:val="00340E7A"/>
    <w:rsid w:val="0037250C"/>
    <w:rsid w:val="00386DDB"/>
    <w:rsid w:val="003932BC"/>
    <w:rsid w:val="003A6834"/>
    <w:rsid w:val="003B435F"/>
    <w:rsid w:val="003B579E"/>
    <w:rsid w:val="003B7947"/>
    <w:rsid w:val="003C46C5"/>
    <w:rsid w:val="003C5A4E"/>
    <w:rsid w:val="003E13E9"/>
    <w:rsid w:val="003E7091"/>
    <w:rsid w:val="004030D4"/>
    <w:rsid w:val="00414C85"/>
    <w:rsid w:val="004226E2"/>
    <w:rsid w:val="00431BD5"/>
    <w:rsid w:val="0044246F"/>
    <w:rsid w:val="00457ACE"/>
    <w:rsid w:val="00461047"/>
    <w:rsid w:val="00463559"/>
    <w:rsid w:val="004706B2"/>
    <w:rsid w:val="0047208B"/>
    <w:rsid w:val="00491C6E"/>
    <w:rsid w:val="00493EE9"/>
    <w:rsid w:val="004B1C73"/>
    <w:rsid w:val="004B5017"/>
    <w:rsid w:val="004C0375"/>
    <w:rsid w:val="004C178F"/>
    <w:rsid w:val="004C629F"/>
    <w:rsid w:val="004D34F8"/>
    <w:rsid w:val="004D3AB1"/>
    <w:rsid w:val="004E61E6"/>
    <w:rsid w:val="004F50CD"/>
    <w:rsid w:val="0050613C"/>
    <w:rsid w:val="0051352D"/>
    <w:rsid w:val="005275EB"/>
    <w:rsid w:val="00533AC8"/>
    <w:rsid w:val="00534563"/>
    <w:rsid w:val="005430FF"/>
    <w:rsid w:val="005434DC"/>
    <w:rsid w:val="00562BED"/>
    <w:rsid w:val="005676F4"/>
    <w:rsid w:val="00567DD2"/>
    <w:rsid w:val="005A3277"/>
    <w:rsid w:val="005A6153"/>
    <w:rsid w:val="005B418D"/>
    <w:rsid w:val="005B7D9F"/>
    <w:rsid w:val="005C1841"/>
    <w:rsid w:val="005C5969"/>
    <w:rsid w:val="005D76E6"/>
    <w:rsid w:val="005E6C43"/>
    <w:rsid w:val="005F0A25"/>
    <w:rsid w:val="005F5FB4"/>
    <w:rsid w:val="00604A08"/>
    <w:rsid w:val="00622F01"/>
    <w:rsid w:val="00630918"/>
    <w:rsid w:val="00647DF0"/>
    <w:rsid w:val="006528AB"/>
    <w:rsid w:val="006563C0"/>
    <w:rsid w:val="0066101A"/>
    <w:rsid w:val="0069007E"/>
    <w:rsid w:val="00691321"/>
    <w:rsid w:val="006A1B73"/>
    <w:rsid w:val="006C091C"/>
    <w:rsid w:val="006C583C"/>
    <w:rsid w:val="006C71AC"/>
    <w:rsid w:val="00702BAA"/>
    <w:rsid w:val="00704397"/>
    <w:rsid w:val="007055DE"/>
    <w:rsid w:val="0071588D"/>
    <w:rsid w:val="0072347B"/>
    <w:rsid w:val="00724F29"/>
    <w:rsid w:val="0073109D"/>
    <w:rsid w:val="00731C3B"/>
    <w:rsid w:val="0074071A"/>
    <w:rsid w:val="00740DC7"/>
    <w:rsid w:val="00742045"/>
    <w:rsid w:val="007449E2"/>
    <w:rsid w:val="00755803"/>
    <w:rsid w:val="0076006B"/>
    <w:rsid w:val="007624ED"/>
    <w:rsid w:val="007772B5"/>
    <w:rsid w:val="0078031D"/>
    <w:rsid w:val="00786578"/>
    <w:rsid w:val="00797C04"/>
    <w:rsid w:val="007B481B"/>
    <w:rsid w:val="007D0F61"/>
    <w:rsid w:val="007D140B"/>
    <w:rsid w:val="007D4D47"/>
    <w:rsid w:val="007E58D5"/>
    <w:rsid w:val="00814D36"/>
    <w:rsid w:val="00820A05"/>
    <w:rsid w:val="00821F29"/>
    <w:rsid w:val="00830E8B"/>
    <w:rsid w:val="00840E9D"/>
    <w:rsid w:val="0084383D"/>
    <w:rsid w:val="00845E77"/>
    <w:rsid w:val="008461AB"/>
    <w:rsid w:val="00882238"/>
    <w:rsid w:val="008906FE"/>
    <w:rsid w:val="008A5874"/>
    <w:rsid w:val="008F7EE3"/>
    <w:rsid w:val="00927298"/>
    <w:rsid w:val="00951B9D"/>
    <w:rsid w:val="00961743"/>
    <w:rsid w:val="009728B3"/>
    <w:rsid w:val="00974AF7"/>
    <w:rsid w:val="0099102E"/>
    <w:rsid w:val="009977A8"/>
    <w:rsid w:val="009A2FA3"/>
    <w:rsid w:val="009A4E31"/>
    <w:rsid w:val="009B535E"/>
    <w:rsid w:val="009B708A"/>
    <w:rsid w:val="009C474B"/>
    <w:rsid w:val="00A04A58"/>
    <w:rsid w:val="00A07D81"/>
    <w:rsid w:val="00A15D99"/>
    <w:rsid w:val="00A16DC8"/>
    <w:rsid w:val="00A22211"/>
    <w:rsid w:val="00A33BFC"/>
    <w:rsid w:val="00A34B0F"/>
    <w:rsid w:val="00A45A2D"/>
    <w:rsid w:val="00A472DE"/>
    <w:rsid w:val="00A814B4"/>
    <w:rsid w:val="00A8558D"/>
    <w:rsid w:val="00A928CD"/>
    <w:rsid w:val="00A93FF2"/>
    <w:rsid w:val="00A97ACC"/>
    <w:rsid w:val="00AA3839"/>
    <w:rsid w:val="00AB22DA"/>
    <w:rsid w:val="00AD0054"/>
    <w:rsid w:val="00AE3872"/>
    <w:rsid w:val="00AE596B"/>
    <w:rsid w:val="00B044C0"/>
    <w:rsid w:val="00B15D7E"/>
    <w:rsid w:val="00B21C5C"/>
    <w:rsid w:val="00B31A36"/>
    <w:rsid w:val="00B52ADD"/>
    <w:rsid w:val="00B538DC"/>
    <w:rsid w:val="00B53B69"/>
    <w:rsid w:val="00B82804"/>
    <w:rsid w:val="00B90EC5"/>
    <w:rsid w:val="00B9154F"/>
    <w:rsid w:val="00BB19F8"/>
    <w:rsid w:val="00BB5767"/>
    <w:rsid w:val="00BB6C35"/>
    <w:rsid w:val="00BC31B8"/>
    <w:rsid w:val="00BC397C"/>
    <w:rsid w:val="00BD5C63"/>
    <w:rsid w:val="00BE4DA2"/>
    <w:rsid w:val="00BE531A"/>
    <w:rsid w:val="00BE7504"/>
    <w:rsid w:val="00BE7F8F"/>
    <w:rsid w:val="00BF197A"/>
    <w:rsid w:val="00BF41AF"/>
    <w:rsid w:val="00BF77DA"/>
    <w:rsid w:val="00C02CFF"/>
    <w:rsid w:val="00C030DE"/>
    <w:rsid w:val="00C03B6D"/>
    <w:rsid w:val="00C12285"/>
    <w:rsid w:val="00C22BE2"/>
    <w:rsid w:val="00C45E93"/>
    <w:rsid w:val="00C55CBB"/>
    <w:rsid w:val="00C63BF8"/>
    <w:rsid w:val="00C65E37"/>
    <w:rsid w:val="00C80B8E"/>
    <w:rsid w:val="00C96211"/>
    <w:rsid w:val="00CB472D"/>
    <w:rsid w:val="00CC0B01"/>
    <w:rsid w:val="00CC3010"/>
    <w:rsid w:val="00D06832"/>
    <w:rsid w:val="00D14251"/>
    <w:rsid w:val="00D23DC7"/>
    <w:rsid w:val="00D313A5"/>
    <w:rsid w:val="00D334ED"/>
    <w:rsid w:val="00D55C09"/>
    <w:rsid w:val="00D62A8E"/>
    <w:rsid w:val="00D6313F"/>
    <w:rsid w:val="00D92E60"/>
    <w:rsid w:val="00D93A22"/>
    <w:rsid w:val="00DB10B8"/>
    <w:rsid w:val="00DB5DDC"/>
    <w:rsid w:val="00DD14B6"/>
    <w:rsid w:val="00E01E9C"/>
    <w:rsid w:val="00E33859"/>
    <w:rsid w:val="00E41748"/>
    <w:rsid w:val="00E41CB5"/>
    <w:rsid w:val="00E50239"/>
    <w:rsid w:val="00E52E17"/>
    <w:rsid w:val="00E61265"/>
    <w:rsid w:val="00E67DCD"/>
    <w:rsid w:val="00E807A6"/>
    <w:rsid w:val="00E942AB"/>
    <w:rsid w:val="00E9441E"/>
    <w:rsid w:val="00EA271C"/>
    <w:rsid w:val="00EB1602"/>
    <w:rsid w:val="00EB24A0"/>
    <w:rsid w:val="00EB4609"/>
    <w:rsid w:val="00EB507B"/>
    <w:rsid w:val="00EE22DB"/>
    <w:rsid w:val="00EE5B70"/>
    <w:rsid w:val="00EF001D"/>
    <w:rsid w:val="00F1501C"/>
    <w:rsid w:val="00F22F8F"/>
    <w:rsid w:val="00F33614"/>
    <w:rsid w:val="00F4181A"/>
    <w:rsid w:val="00F53961"/>
    <w:rsid w:val="00F6371E"/>
    <w:rsid w:val="00F74161"/>
    <w:rsid w:val="00F7418F"/>
    <w:rsid w:val="00F747E0"/>
    <w:rsid w:val="00F80BC5"/>
    <w:rsid w:val="00F862C3"/>
    <w:rsid w:val="00F879BC"/>
    <w:rsid w:val="00F9257B"/>
    <w:rsid w:val="00F93CE1"/>
    <w:rsid w:val="00FB0D6E"/>
    <w:rsid w:val="00FB437B"/>
    <w:rsid w:val="00FB70E5"/>
    <w:rsid w:val="00FB76B4"/>
    <w:rsid w:val="00FC590C"/>
    <w:rsid w:val="00FD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fr-FR"/>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fr-FR"/>
    </w:rPr>
  </w:style>
  <w:style w:type="paragraph" w:styleId="Revision">
    <w:name w:val="Revision"/>
    <w:hidden/>
    <w:uiPriority w:val="99"/>
    <w:semiHidden/>
    <w:rsid w:val="00C80B8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4E31"/>
    <w:pPr>
      <w:tabs>
        <w:tab w:val="center" w:pos="4536"/>
        <w:tab w:val="right" w:pos="9072"/>
      </w:tabs>
    </w:pPr>
  </w:style>
  <w:style w:type="character" w:customStyle="1" w:styleId="HeaderChar">
    <w:name w:val="Header Char"/>
    <w:basedOn w:val="DefaultParagraphFont"/>
    <w:link w:val="Header"/>
    <w:uiPriority w:val="99"/>
    <w:rsid w:val="009A4E31"/>
    <w:rPr>
      <w:rFonts w:ascii="Calibri" w:hAnsi="Calibri" w:cs="Calibri"/>
    </w:rPr>
  </w:style>
  <w:style w:type="paragraph" w:styleId="Footer">
    <w:name w:val="footer"/>
    <w:basedOn w:val="Normal"/>
    <w:link w:val="FooterChar"/>
    <w:uiPriority w:val="99"/>
    <w:unhideWhenUsed/>
    <w:rsid w:val="009A4E31"/>
    <w:pPr>
      <w:tabs>
        <w:tab w:val="center" w:pos="4536"/>
        <w:tab w:val="right" w:pos="9072"/>
      </w:tabs>
    </w:pPr>
  </w:style>
  <w:style w:type="character" w:customStyle="1" w:styleId="FooterChar">
    <w:name w:val="Footer Char"/>
    <w:basedOn w:val="DefaultParagraphFont"/>
    <w:link w:val="Footer"/>
    <w:uiPriority w:val="99"/>
    <w:rsid w:val="009A4E3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4.jpg@01D4442E.52741270" TargetMode="External"/><Relationship Id="rId18"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unchemical.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go.sunchemical.com/l/62722/2023-07-24/3vkzj9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rrabbani@adcomms.co.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stagram.com/lifeatsunchemic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ther.buchholz@sunchemical.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2.xml><?xml version="1.0" encoding="utf-8"?>
<ds:datastoreItem xmlns:ds="http://schemas.openxmlformats.org/officeDocument/2006/customXml" ds:itemID="{E3A550E7-EEDE-462B-B756-86070D04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C1245-E0F9-4BAA-BC76-2E4633FF56A3}">
  <ds:schemaRefs>
    <ds:schemaRef ds:uri="http://schemas.microsoft.com/sharepoint/v3/contenttype/forms"/>
  </ds:schemaRefs>
</ds:datastoreItem>
</file>

<file path=customXml/itemProps4.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Matthew Parry</cp:lastModifiedBy>
  <cp:revision>2</cp:revision>
  <dcterms:created xsi:type="dcterms:W3CDTF">2023-07-28T14:28:00Z</dcterms:created>
  <dcterms:modified xsi:type="dcterms:W3CDTF">2023-07-28T14:28:00Z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