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5257C" w14:textId="77777777" w:rsidR="00D847CA" w:rsidRDefault="00E94E4F">
      <w:pPr>
        <w:spacing w:after="360"/>
        <w:rPr>
          <w:rFonts w:ascii="Arial" w:eastAsia="Arial" w:hAnsi="Arial" w:cs="Arial"/>
          <w:b/>
          <w:bCs/>
          <w:sz w:val="28"/>
          <w:szCs w:val="28"/>
        </w:rPr>
      </w:pPr>
      <w:r>
        <w:rPr>
          <w:rFonts w:ascii="Arial" w:hAnsi="Arial"/>
          <w:b/>
          <w:bCs/>
          <w:sz w:val="28"/>
          <w:szCs w:val="28"/>
        </w:rPr>
        <w:t>GMG kündigt mit insgesamt drei Software-Updates mehr Produktivität im Verpackungsdruck an</w:t>
      </w:r>
    </w:p>
    <w:p w14:paraId="0645257D" w14:textId="4FD5D830" w:rsidR="00D847CA" w:rsidRDefault="00E94E4F">
      <w:pPr>
        <w:spacing w:after="240" w:line="280" w:lineRule="exact"/>
        <w:jc w:val="both"/>
        <w:rPr>
          <w:rFonts w:ascii="Arial" w:eastAsia="Arial" w:hAnsi="Arial" w:cs="Arial"/>
          <w:sz w:val="20"/>
          <w:szCs w:val="20"/>
        </w:rPr>
      </w:pPr>
      <w:r>
        <w:rPr>
          <w:rFonts w:ascii="Arial" w:hAnsi="Arial"/>
          <w:b/>
          <w:bCs/>
          <w:sz w:val="20"/>
          <w:szCs w:val="20"/>
        </w:rPr>
        <w:t>Tübingen, Deutschland (1</w:t>
      </w:r>
      <w:r w:rsidR="00652C80">
        <w:rPr>
          <w:rFonts w:ascii="Arial" w:hAnsi="Arial"/>
          <w:b/>
          <w:bCs/>
          <w:sz w:val="20"/>
          <w:szCs w:val="20"/>
        </w:rPr>
        <w:t>2</w:t>
      </w:r>
      <w:r>
        <w:rPr>
          <w:rFonts w:ascii="Arial" w:hAnsi="Arial"/>
          <w:b/>
          <w:bCs/>
          <w:sz w:val="20"/>
          <w:szCs w:val="20"/>
        </w:rPr>
        <w:t xml:space="preserve">. Dezember 2023) </w:t>
      </w:r>
      <w:r>
        <w:rPr>
          <w:rFonts w:ascii="Arial" w:hAnsi="Arial"/>
          <w:sz w:val="20"/>
          <w:szCs w:val="20"/>
        </w:rPr>
        <w:t xml:space="preserve">– Die Farbexperten von </w:t>
      </w:r>
      <w:bookmarkStart w:id="0" w:name="_Hlk45627372"/>
      <w:r>
        <w:rPr>
          <w:rFonts w:ascii="Arial" w:hAnsi="Arial"/>
          <w:sz w:val="20"/>
          <w:szCs w:val="20"/>
        </w:rPr>
        <w:t>GMG zeigen mit GMG ColorServer 5.5, GMG OpenColor 3.1 und GMG ColorProof 5.15, wie mit innovativer Software</w:t>
      </w:r>
      <w:bookmarkEnd w:id="0"/>
      <w:r>
        <w:rPr>
          <w:rFonts w:ascii="Arial" w:hAnsi="Arial"/>
          <w:sz w:val="20"/>
          <w:szCs w:val="20"/>
        </w:rPr>
        <w:t xml:space="preserve"> eine deutlich höhere Produktivität in der Druckproduktion realisiert werden kann. </w:t>
      </w:r>
    </w:p>
    <w:p w14:paraId="0645257E" w14:textId="77777777" w:rsidR="00D847CA" w:rsidRDefault="00E94E4F">
      <w:pPr>
        <w:spacing w:after="240" w:line="280" w:lineRule="exact"/>
        <w:jc w:val="both"/>
        <w:rPr>
          <w:rFonts w:ascii="Arial" w:eastAsia="Arial" w:hAnsi="Arial" w:cs="Arial"/>
          <w:sz w:val="20"/>
          <w:szCs w:val="20"/>
        </w:rPr>
      </w:pPr>
      <w:r>
        <w:rPr>
          <w:rFonts w:ascii="Arial" w:hAnsi="Arial"/>
          <w:sz w:val="20"/>
          <w:szCs w:val="20"/>
        </w:rPr>
        <w:t>Die neue MXN Color Engine sorgt ab sofort für einen deutlichen Performancesprung bei den Konvertierungs- und Separationsanwendungen von GMG. Auch die Usability wurde verbessert: Häufige Wechsel zwischen den Anwendungen gehören nun der Vergangenheit an. On top: Mit den aktuellen Updates stellt GMG auf eine Onlinelizenzierung um.</w:t>
      </w:r>
    </w:p>
    <w:p w14:paraId="0645257F" w14:textId="77777777" w:rsidR="00D847CA" w:rsidRDefault="00E94E4F">
      <w:pPr>
        <w:spacing w:after="240" w:line="280" w:lineRule="exact"/>
        <w:jc w:val="both"/>
        <w:rPr>
          <w:rFonts w:ascii="Arial" w:eastAsia="Arial" w:hAnsi="Arial" w:cs="Arial"/>
          <w:sz w:val="20"/>
          <w:szCs w:val="20"/>
        </w:rPr>
      </w:pPr>
      <w:r>
        <w:rPr>
          <w:rFonts w:ascii="Arial" w:hAnsi="Arial"/>
          <w:sz w:val="20"/>
          <w:szCs w:val="20"/>
        </w:rPr>
        <w:t>„</w:t>
      </w:r>
      <w:r>
        <w:rPr>
          <w:rStyle w:val="OhneA"/>
        </w:rPr>
        <w:t>W</w:t>
      </w:r>
      <w:r>
        <w:rPr>
          <w:rFonts w:ascii="Arial" w:hAnsi="Arial"/>
          <w:sz w:val="20"/>
          <w:szCs w:val="20"/>
        </w:rPr>
        <w:t>ir haben viel Entwicklungsarbeit darauf verwendet, die Interaktion zwischen unseren Anwendungen zu verbessern und die Benutzerfreundlichkeit insgesamt zu optimieren. Bei der Arbeit mit GMG ColorServer müssen Nutzerinnen und Nutzer nun nicht mehr ständig zwischen den Programmen hin- und herwechseln. Das erhöht nicht nur die Effizienz – die verbesserte User-Experience macht auch einfach mehr Spaß“, sagt Jens Bloeck, Produktmanager bei GMG.</w:t>
      </w:r>
    </w:p>
    <w:p w14:paraId="06452580" w14:textId="77777777" w:rsidR="00D847CA" w:rsidRDefault="00E94E4F">
      <w:pPr>
        <w:spacing w:after="240" w:line="280" w:lineRule="exact"/>
        <w:jc w:val="both"/>
        <w:rPr>
          <w:rFonts w:ascii="Arial" w:eastAsia="Arial" w:hAnsi="Arial" w:cs="Arial"/>
          <w:sz w:val="20"/>
          <w:szCs w:val="20"/>
        </w:rPr>
      </w:pPr>
      <w:r>
        <w:rPr>
          <w:rFonts w:ascii="Arial" w:hAnsi="Arial"/>
          <w:sz w:val="20"/>
          <w:szCs w:val="20"/>
        </w:rPr>
        <w:t xml:space="preserve">Im Verpackungsdruck, wo Farbgenauigkeit und -konsistenz von enormer Bedeutung sind, ist die Technologie von GMG ein Garant für die sichere Darstellung von Markenfarben – gerade auch bei schwierigen Substraten. Die Lösung von GMG verspricht unabhängig von Material, Druckprozess und Auflage verbindliche Ergebnisse. </w:t>
      </w:r>
    </w:p>
    <w:p w14:paraId="06452581" w14:textId="77777777" w:rsidR="00D847CA" w:rsidRDefault="00E94E4F">
      <w:pPr>
        <w:spacing w:after="240" w:line="280" w:lineRule="exact"/>
        <w:jc w:val="both"/>
        <w:rPr>
          <w:rFonts w:ascii="Arial" w:eastAsia="Arial" w:hAnsi="Arial" w:cs="Arial"/>
          <w:sz w:val="20"/>
          <w:szCs w:val="20"/>
        </w:rPr>
      </w:pPr>
      <w:r>
        <w:rPr>
          <w:rFonts w:ascii="Arial" w:hAnsi="Arial"/>
          <w:sz w:val="20"/>
          <w:szCs w:val="20"/>
        </w:rPr>
        <w:t xml:space="preserve">„Für die Berechnung von Separations- und Konvertierungsprofilen nutzen wir jetzt einen verbesserten Profilierungsalgorithmus und unsere neue MXN-Separations-Engine in GMG </w:t>
      </w:r>
      <w:proofErr w:type="spellStart"/>
      <w:r>
        <w:rPr>
          <w:rFonts w:ascii="Arial" w:hAnsi="Arial"/>
          <w:sz w:val="20"/>
          <w:szCs w:val="20"/>
        </w:rPr>
        <w:t>SmartProfiler</w:t>
      </w:r>
      <w:proofErr w:type="spellEnd"/>
      <w:r>
        <w:rPr>
          <w:rFonts w:ascii="Arial" w:hAnsi="Arial"/>
          <w:sz w:val="20"/>
          <w:szCs w:val="20"/>
        </w:rPr>
        <w:t>. Dadurch erreichen wir im Digitaldruck eine noch bessere Farb- und Druckqualität“, erklärt Bloeck. „Qualitative Verbesserungen sehen wir insbesondere bei der Konvertierung von großen in kleine Farbräume. In der Praxis bedeutet das, dass wir beispielsweise auf ungestrichener Naturwellpappe, vor allem in den dunklen Farbbereichen, sichtbar bessere Ergebnisse erhalten.“</w:t>
      </w:r>
    </w:p>
    <w:p w14:paraId="06452582" w14:textId="22E44685" w:rsidR="00D847CA" w:rsidRDefault="00E94E4F">
      <w:pPr>
        <w:spacing w:after="240" w:line="280" w:lineRule="exact"/>
        <w:jc w:val="both"/>
        <w:rPr>
          <w:rFonts w:ascii="Arial" w:eastAsia="Arial" w:hAnsi="Arial" w:cs="Arial"/>
          <w:sz w:val="20"/>
          <w:szCs w:val="20"/>
        </w:rPr>
      </w:pPr>
      <w:r>
        <w:rPr>
          <w:rFonts w:ascii="Arial" w:hAnsi="Arial"/>
          <w:sz w:val="20"/>
          <w:szCs w:val="20"/>
        </w:rPr>
        <w:t xml:space="preserve">Das aktuelle Update von GMG ColorProof ist speziell für Anwender interessant, die auf einer HP-Indigo-Digitaldruckmaschine produzieren. Statt die leistungsstarke </w:t>
      </w:r>
      <w:proofErr w:type="gramStart"/>
      <w:r>
        <w:rPr>
          <w:rFonts w:ascii="Arial" w:hAnsi="Arial"/>
          <w:sz w:val="20"/>
          <w:szCs w:val="20"/>
        </w:rPr>
        <w:t>HP</w:t>
      </w:r>
      <w:r w:rsidR="00652C80">
        <w:rPr>
          <w:rFonts w:ascii="Arial" w:hAnsi="Arial"/>
          <w:sz w:val="20"/>
          <w:szCs w:val="20"/>
        </w:rPr>
        <w:t xml:space="preserve"> </w:t>
      </w:r>
      <w:r>
        <w:rPr>
          <w:rFonts w:ascii="Arial" w:hAnsi="Arial"/>
          <w:sz w:val="20"/>
          <w:szCs w:val="20"/>
        </w:rPr>
        <w:t>Indigo</w:t>
      </w:r>
      <w:proofErr w:type="gramEnd"/>
      <w:r>
        <w:rPr>
          <w:rFonts w:ascii="Arial" w:hAnsi="Arial"/>
          <w:sz w:val="20"/>
          <w:szCs w:val="20"/>
        </w:rPr>
        <w:t xml:space="preserve"> für einzelne Test- und Abstimmungsbögen zu blockieren, ist der HP </w:t>
      </w:r>
      <w:proofErr w:type="spellStart"/>
      <w:r>
        <w:rPr>
          <w:rFonts w:ascii="Arial" w:hAnsi="Arial"/>
          <w:sz w:val="20"/>
          <w:szCs w:val="20"/>
        </w:rPr>
        <w:t>DesignJet</w:t>
      </w:r>
      <w:proofErr w:type="spellEnd"/>
      <w:r>
        <w:rPr>
          <w:rFonts w:ascii="Arial" w:hAnsi="Arial"/>
          <w:sz w:val="20"/>
          <w:szCs w:val="20"/>
        </w:rPr>
        <w:t xml:space="preserve"> Z9+ in Kombination mit GMG ColorProof die deutlich wirtschaftlichere Lösung. </w:t>
      </w:r>
    </w:p>
    <w:p w14:paraId="06452583" w14:textId="77777777" w:rsidR="00D847CA" w:rsidRDefault="00E94E4F">
      <w:pPr>
        <w:spacing w:after="240" w:line="280" w:lineRule="exact"/>
        <w:jc w:val="both"/>
        <w:rPr>
          <w:rFonts w:ascii="Arial" w:eastAsia="Arial" w:hAnsi="Arial" w:cs="Arial"/>
          <w:sz w:val="20"/>
          <w:szCs w:val="20"/>
        </w:rPr>
      </w:pPr>
      <w:r>
        <w:rPr>
          <w:rFonts w:ascii="Arial" w:hAnsi="Arial"/>
          <w:sz w:val="20"/>
          <w:szCs w:val="20"/>
        </w:rPr>
        <w:t>Die Updates für GMG OpenColor, GMG ColorServer und GMG ColorProof sind ab sofort verfügbar.</w:t>
      </w:r>
    </w:p>
    <w:p w14:paraId="06452584" w14:textId="77777777" w:rsidR="00D847CA" w:rsidRDefault="00D847CA">
      <w:pPr>
        <w:spacing w:after="240" w:line="280" w:lineRule="exact"/>
        <w:jc w:val="both"/>
      </w:pPr>
    </w:p>
    <w:p w14:paraId="06452585" w14:textId="77777777" w:rsidR="00D847CA" w:rsidRDefault="00E94E4F">
      <w:pPr>
        <w:jc w:val="center"/>
        <w:rPr>
          <w:rFonts w:ascii="Arial" w:eastAsia="Arial" w:hAnsi="Arial" w:cs="Arial"/>
          <w:b/>
          <w:bCs/>
          <w:sz w:val="20"/>
          <w:szCs w:val="20"/>
        </w:rPr>
      </w:pPr>
      <w:r>
        <w:rPr>
          <w:rFonts w:ascii="Arial" w:hAnsi="Arial"/>
          <w:b/>
          <w:bCs/>
        </w:rPr>
        <w:t>Ende</w:t>
      </w:r>
    </w:p>
    <w:p w14:paraId="06452586" w14:textId="77777777" w:rsidR="00D847CA" w:rsidRDefault="00E94E4F">
      <w:pPr>
        <w:pStyle w:val="KeinLeerraum"/>
        <w:rPr>
          <w:rFonts w:ascii="Arial" w:eastAsia="Arial" w:hAnsi="Arial" w:cs="Arial"/>
        </w:rPr>
      </w:pPr>
      <w:r>
        <w:rPr>
          <w:rFonts w:ascii="Arial" w:hAnsi="Arial"/>
          <w:b/>
          <w:bCs/>
        </w:rPr>
        <w:t>Über GMG:</w:t>
      </w:r>
      <w:r>
        <w:rPr>
          <w:rFonts w:ascii="Arial" w:hAnsi="Arial"/>
        </w:rPr>
        <w:t xml:space="preserve"> GMG ist der führende Entwickler von High-End-Farbmanagement-Lösungen. Das Unternehmen wurde 1984 in Tübingen, Deutschland, gegründet, wo sich auch heute noch der Hauptsitz befindet. Mit mehr als 35 Jahren Erfahrung im Farbmanagement </w:t>
      </w:r>
      <w:proofErr w:type="gramStart"/>
      <w:r>
        <w:rPr>
          <w:rFonts w:ascii="Arial" w:hAnsi="Arial"/>
        </w:rPr>
        <w:t>ist</w:t>
      </w:r>
      <w:proofErr w:type="gramEnd"/>
      <w:r>
        <w:rPr>
          <w:rFonts w:ascii="Arial" w:hAnsi="Arial"/>
        </w:rPr>
        <w:t xml:space="preserve"> GMG ein Branchenpionier, der buchstäblich die Standards in diesem Segment setzt. Das Hauptaugenmerk von GMG liegt auf der Entwicklung von Komplettlösungen zur </w:t>
      </w:r>
      <w:r>
        <w:rPr>
          <w:rFonts w:ascii="Arial" w:hAnsi="Arial"/>
        </w:rPr>
        <w:lastRenderedPageBreak/>
        <w:t xml:space="preserve">Standardisierung von Farbmanagement-Workflows für verschiedene Druckverfahren und für unterschiedliche Substrate. GMG ist mit über 12.000 installierten Farbmanagement-Systemen auf der ganzen Welt zu Hause. Zu den Kunden des Unternehmens zählen unter anderem Kreativagenturen, </w:t>
      </w:r>
      <w:proofErr w:type="spellStart"/>
      <w:r>
        <w:rPr>
          <w:rFonts w:ascii="Arial" w:hAnsi="Arial"/>
        </w:rPr>
        <w:t>Prepressunternehmen</w:t>
      </w:r>
      <w:proofErr w:type="spellEnd"/>
      <w:r>
        <w:rPr>
          <w:rFonts w:ascii="Arial" w:hAnsi="Arial"/>
        </w:rPr>
        <w:t>, Offset-, Flexo-, Verpackungs-, Digital-, Tiefdruck- und Großformatdruckereien. GMG ist sowohl mit eigenen Tochtergesellschaften als auch über ein breites Partnernetzwerk global vertreten.</w:t>
      </w:r>
    </w:p>
    <w:p w14:paraId="06452587" w14:textId="77777777" w:rsidR="00D847CA" w:rsidRDefault="00E94E4F">
      <w:pPr>
        <w:spacing w:line="256" w:lineRule="auto"/>
        <w:jc w:val="both"/>
        <w:rPr>
          <w:rFonts w:ascii="Arial" w:eastAsia="Arial" w:hAnsi="Arial" w:cs="Arial"/>
          <w:sz w:val="18"/>
          <w:szCs w:val="18"/>
        </w:rPr>
      </w:pPr>
      <w:r>
        <w:rPr>
          <w:rFonts w:ascii="Arial" w:eastAsia="Arial" w:hAnsi="Arial" w:cs="Arial"/>
          <w:noProof/>
        </w:rPr>
        <w:drawing>
          <wp:inline distT="0" distB="0" distL="0" distR="0" wp14:anchorId="06452599" wp14:editId="0645259A">
            <wp:extent cx="3124200" cy="1495425"/>
            <wp:effectExtent l="0" t="0" r="0" b="0"/>
            <wp:docPr id="1073741826" name="Grafik 1073741826" descr="Grafik 4"/>
            <wp:cNvGraphicFramePr/>
            <a:graphic xmlns:a="http://schemas.openxmlformats.org/drawingml/2006/main">
              <a:graphicData uri="http://schemas.openxmlformats.org/drawingml/2006/picture">
                <pic:pic xmlns:pic="http://schemas.openxmlformats.org/drawingml/2006/picture">
                  <pic:nvPicPr>
                    <pic:cNvPr id="1073741826" name="Grafik 4" descr="Grafik 4"/>
                    <pic:cNvPicPr>
                      <a:picLocks noChangeAspect="1"/>
                    </pic:cNvPicPr>
                  </pic:nvPicPr>
                  <pic:blipFill>
                    <a:blip r:embed="rId8"/>
                    <a:stretch>
                      <a:fillRect/>
                    </a:stretch>
                  </pic:blipFill>
                  <pic:spPr>
                    <a:xfrm>
                      <a:off x="0" y="0"/>
                      <a:ext cx="3124200" cy="1495425"/>
                    </a:xfrm>
                    <a:prstGeom prst="rect">
                      <a:avLst/>
                    </a:prstGeom>
                    <a:ln w="12700" cap="flat">
                      <a:noFill/>
                      <a:miter lim="400000"/>
                    </a:ln>
                    <a:effectLst/>
                  </pic:spPr>
                </pic:pic>
              </a:graphicData>
            </a:graphic>
          </wp:inline>
        </w:drawing>
      </w:r>
    </w:p>
    <w:p w14:paraId="06452588" w14:textId="7519AD50" w:rsidR="00D847CA" w:rsidRDefault="00E94E4F">
      <w:pPr>
        <w:pStyle w:val="KeinLeerraum"/>
        <w:rPr>
          <w:rFonts w:ascii="Arial" w:eastAsia="Arial" w:hAnsi="Arial" w:cs="Arial"/>
        </w:rPr>
      </w:pPr>
      <w:r>
        <w:rPr>
          <w:rFonts w:ascii="Arial" w:hAnsi="Arial"/>
        </w:rPr>
        <w:t xml:space="preserve">© </w:t>
      </w:r>
      <w:r>
        <w:rPr>
          <w:rFonts w:ascii="Arial" w:hAnsi="Arial"/>
          <w:b/>
          <w:bCs/>
        </w:rPr>
        <w:t>202</w:t>
      </w:r>
      <w:r w:rsidR="00652C80">
        <w:rPr>
          <w:rFonts w:ascii="Arial" w:hAnsi="Arial"/>
          <w:b/>
          <w:bCs/>
        </w:rPr>
        <w:t>3</w:t>
      </w:r>
      <w:r>
        <w:rPr>
          <w:rFonts w:ascii="Arial" w:hAnsi="Arial"/>
          <w:b/>
          <w:bCs/>
        </w:rPr>
        <w:t xml:space="preserve"> GMG GmbH &amp; Co. KG</w:t>
      </w:r>
      <w:r>
        <w:rPr>
          <w:rFonts w:ascii="Arial" w:hAnsi="Arial"/>
        </w:rPr>
        <w:t xml:space="preserve">. GMG, das </w:t>
      </w:r>
      <w:proofErr w:type="gramStart"/>
      <w:r>
        <w:rPr>
          <w:rFonts w:ascii="Arial" w:hAnsi="Arial"/>
        </w:rPr>
        <w:t>GMG Logo</w:t>
      </w:r>
      <w:proofErr w:type="gramEnd"/>
      <w:r>
        <w:rPr>
          <w:rFonts w:ascii="Arial" w:hAnsi="Arial"/>
        </w:rPr>
        <w:t xml:space="preserve"> und bestimmte Produktbezeichnungen sind eingetragene Warenzeichen der GMG GmbH &amp; Co. KG. Alle anderen Bezeichnungen und genannten Produkte sind eingetragene Warenzeichen der jeweiligen Firmen. GMG behält sich das Recht vor, jederzeit Änderungen technischer oder anderer Art vorzunehmen.</w:t>
      </w:r>
    </w:p>
    <w:p w14:paraId="06452589" w14:textId="77777777" w:rsidR="00D847CA" w:rsidRDefault="00D847CA">
      <w:pPr>
        <w:pStyle w:val="KeinLeerraum"/>
        <w:rPr>
          <w:rFonts w:ascii="Arial" w:eastAsia="Arial" w:hAnsi="Arial" w:cs="Arial"/>
        </w:rPr>
      </w:pPr>
    </w:p>
    <w:p w14:paraId="0645258A" w14:textId="77777777" w:rsidR="00D847CA" w:rsidRDefault="00E94E4F">
      <w:pPr>
        <w:pStyle w:val="KeinLeerraum"/>
        <w:jc w:val="left"/>
        <w:rPr>
          <w:rStyle w:val="Ohne"/>
          <w:rFonts w:ascii="Arial" w:eastAsia="Arial" w:hAnsi="Arial" w:cs="Arial"/>
        </w:rPr>
      </w:pPr>
      <w:r>
        <w:rPr>
          <w:rFonts w:ascii="Arial" w:hAnsi="Arial"/>
        </w:rPr>
        <w:t xml:space="preserve">Für weitere Informationen besuchen Sie bitte </w:t>
      </w:r>
      <w:hyperlink r:id="rId9" w:history="1">
        <w:r>
          <w:rPr>
            <w:rStyle w:val="Hyperlink0"/>
          </w:rPr>
          <w:t>www.gmgcolor.com</w:t>
        </w:r>
      </w:hyperlink>
      <w:r>
        <w:rPr>
          <w:rStyle w:val="Ohne"/>
          <w:rFonts w:ascii="Arial" w:hAnsi="Arial"/>
        </w:rPr>
        <w:t xml:space="preserve">, </w:t>
      </w:r>
      <w:hyperlink r:id="rId10" w:history="1">
        <w:r>
          <w:rPr>
            <w:rStyle w:val="Hyperlink0"/>
          </w:rPr>
          <w:t>www.facebook.com/gmgcolor.en</w:t>
        </w:r>
      </w:hyperlink>
      <w:r>
        <w:rPr>
          <w:rStyle w:val="Ohne"/>
          <w:rFonts w:ascii="Arial" w:hAnsi="Arial"/>
        </w:rPr>
        <w:t xml:space="preserve">, </w:t>
      </w:r>
      <w:r>
        <w:rPr>
          <w:rStyle w:val="Ohne"/>
          <w:rFonts w:ascii="Arial" w:eastAsia="Arial" w:hAnsi="Arial" w:cs="Arial"/>
        </w:rPr>
        <w:br/>
      </w:r>
      <w:hyperlink r:id="rId11" w:history="1">
        <w:r>
          <w:rPr>
            <w:rStyle w:val="Hyperlink0"/>
          </w:rPr>
          <w:t>http://twitter.com/gmgcolor</w:t>
        </w:r>
      </w:hyperlink>
      <w:r>
        <w:rPr>
          <w:rStyle w:val="Ohne"/>
          <w:rFonts w:ascii="Arial" w:hAnsi="Arial"/>
        </w:rPr>
        <w:t xml:space="preserve">, </w:t>
      </w:r>
      <w:hyperlink r:id="rId12" w:history="1">
        <w:r>
          <w:rPr>
            <w:rStyle w:val="Hyperlink0"/>
          </w:rPr>
          <w:t>www.linkedin.com/company/gmg</w:t>
        </w:r>
      </w:hyperlink>
    </w:p>
    <w:p w14:paraId="0645258B" w14:textId="77777777" w:rsidR="00D847CA" w:rsidRDefault="00D847CA">
      <w:pPr>
        <w:pStyle w:val="KeinLeerraum"/>
        <w:rPr>
          <w:rStyle w:val="Ohne"/>
          <w:rFonts w:ascii="Arial" w:eastAsia="Arial" w:hAnsi="Arial" w:cs="Arial"/>
        </w:rPr>
      </w:pPr>
    </w:p>
    <w:p w14:paraId="0645258C" w14:textId="77777777" w:rsidR="00D847CA" w:rsidRDefault="00D847CA">
      <w:pPr>
        <w:pStyle w:val="KeinLeerraum"/>
        <w:rPr>
          <w:rStyle w:val="Ohne"/>
          <w:rFonts w:ascii="Arial" w:eastAsia="Arial" w:hAnsi="Arial" w:cs="Arial"/>
          <w:b/>
          <w:bCs/>
          <w:sz w:val="20"/>
          <w:szCs w:val="20"/>
        </w:rPr>
      </w:pPr>
    </w:p>
    <w:p w14:paraId="0645258D" w14:textId="77777777" w:rsidR="00D847CA" w:rsidRDefault="00D847CA">
      <w:pPr>
        <w:pStyle w:val="KeinLeerraum"/>
        <w:rPr>
          <w:rStyle w:val="Ohne"/>
          <w:rFonts w:ascii="Arial" w:eastAsia="Arial" w:hAnsi="Arial" w:cs="Arial"/>
          <w:b/>
          <w:bCs/>
          <w:sz w:val="20"/>
          <w:szCs w:val="20"/>
        </w:rPr>
      </w:pPr>
    </w:p>
    <w:p w14:paraId="0645258E" w14:textId="77777777" w:rsidR="00D847CA" w:rsidRDefault="00E94E4F">
      <w:pPr>
        <w:pStyle w:val="KeinLeerraum"/>
        <w:rPr>
          <w:rStyle w:val="Ohne"/>
          <w:rFonts w:ascii="Arial" w:eastAsia="Arial" w:hAnsi="Arial" w:cs="Arial"/>
          <w:b/>
          <w:bCs/>
          <w:sz w:val="20"/>
          <w:szCs w:val="20"/>
        </w:rPr>
      </w:pPr>
      <w:r>
        <w:rPr>
          <w:rStyle w:val="Ohne"/>
          <w:rFonts w:ascii="Arial" w:hAnsi="Arial"/>
          <w:b/>
          <w:bCs/>
          <w:sz w:val="20"/>
          <w:szCs w:val="20"/>
        </w:rPr>
        <w:t xml:space="preserve">Pressekontakt: </w:t>
      </w:r>
    </w:p>
    <w:p w14:paraId="0645258F" w14:textId="77777777" w:rsidR="00D847CA" w:rsidRDefault="00D847CA">
      <w:pPr>
        <w:pStyle w:val="KeinLeerraum"/>
        <w:rPr>
          <w:rStyle w:val="Ohne"/>
          <w:rFonts w:ascii="Arial" w:eastAsia="Arial" w:hAnsi="Arial" w:cs="Arial"/>
          <w:sz w:val="20"/>
          <w:szCs w:val="20"/>
        </w:rPr>
      </w:pPr>
    </w:p>
    <w:p w14:paraId="06452590" w14:textId="77777777" w:rsidR="00D847CA" w:rsidRDefault="00E94E4F">
      <w:pPr>
        <w:pStyle w:val="KeinLeerraum"/>
        <w:rPr>
          <w:rStyle w:val="Ohne"/>
          <w:rFonts w:ascii="Arial" w:eastAsia="Arial" w:hAnsi="Arial" w:cs="Arial"/>
          <w:sz w:val="20"/>
          <w:szCs w:val="20"/>
        </w:rPr>
      </w:pPr>
      <w:r>
        <w:rPr>
          <w:rStyle w:val="Ohne"/>
          <w:rFonts w:ascii="Arial" w:hAnsi="Arial"/>
          <w:sz w:val="20"/>
          <w:szCs w:val="20"/>
        </w:rPr>
        <w:t>GMG GmbH &amp; Co. KG</w:t>
      </w:r>
    </w:p>
    <w:p w14:paraId="06452591" w14:textId="77777777" w:rsidR="00D847CA" w:rsidRDefault="00E94E4F">
      <w:pPr>
        <w:pStyle w:val="KeinLeerraum"/>
        <w:rPr>
          <w:rStyle w:val="Ohne"/>
          <w:rFonts w:ascii="Arial" w:eastAsia="Arial" w:hAnsi="Arial" w:cs="Arial"/>
          <w:sz w:val="20"/>
          <w:szCs w:val="20"/>
        </w:rPr>
      </w:pPr>
      <w:r>
        <w:rPr>
          <w:rStyle w:val="Ohne"/>
          <w:rFonts w:ascii="Arial" w:hAnsi="Arial"/>
          <w:sz w:val="20"/>
          <w:szCs w:val="20"/>
        </w:rPr>
        <w:t>Phone: + 49 (0) 7071 938 74-0</w:t>
      </w:r>
    </w:p>
    <w:p w14:paraId="06452592" w14:textId="77777777" w:rsidR="00D847CA" w:rsidRDefault="00E94E4F">
      <w:pPr>
        <w:pStyle w:val="KeinLeerraum"/>
        <w:rPr>
          <w:rStyle w:val="Hyperlink1"/>
        </w:rPr>
      </w:pPr>
      <w:proofErr w:type="spellStart"/>
      <w:r>
        <w:rPr>
          <w:rStyle w:val="Ohne"/>
          <w:rFonts w:ascii="Arial" w:hAnsi="Arial"/>
          <w:sz w:val="20"/>
          <w:szCs w:val="20"/>
        </w:rPr>
        <w:t>E-mail</w:t>
      </w:r>
      <w:proofErr w:type="spellEnd"/>
      <w:r>
        <w:rPr>
          <w:rStyle w:val="Ohne"/>
          <w:rFonts w:ascii="Arial" w:hAnsi="Arial"/>
          <w:sz w:val="20"/>
          <w:szCs w:val="20"/>
        </w:rPr>
        <w:t xml:space="preserve">: </w:t>
      </w:r>
      <w:hyperlink r:id="rId13" w:history="1">
        <w:r>
          <w:rPr>
            <w:rStyle w:val="Hyperlink1"/>
          </w:rPr>
          <w:t>pr@gmgcolor.com</w:t>
        </w:r>
      </w:hyperlink>
    </w:p>
    <w:p w14:paraId="06452593" w14:textId="77777777" w:rsidR="00D847CA" w:rsidRDefault="00D847CA">
      <w:pPr>
        <w:pStyle w:val="KeinLeerraum"/>
        <w:rPr>
          <w:rStyle w:val="Hyperlink0"/>
          <w:sz w:val="20"/>
          <w:szCs w:val="20"/>
        </w:rPr>
      </w:pPr>
    </w:p>
    <w:p w14:paraId="06452594" w14:textId="77777777" w:rsidR="00D847CA" w:rsidRDefault="00E94E4F">
      <w:pPr>
        <w:pStyle w:val="KeinLeerraum"/>
        <w:rPr>
          <w:rStyle w:val="Ohne"/>
          <w:rFonts w:ascii="Arial" w:eastAsia="Arial" w:hAnsi="Arial" w:cs="Arial"/>
          <w:b/>
          <w:bCs/>
          <w:sz w:val="20"/>
          <w:szCs w:val="20"/>
        </w:rPr>
      </w:pPr>
      <w:r>
        <w:rPr>
          <w:rStyle w:val="Ohne"/>
          <w:rFonts w:ascii="Arial" w:hAnsi="Arial"/>
          <w:b/>
          <w:bCs/>
          <w:sz w:val="20"/>
          <w:szCs w:val="20"/>
        </w:rPr>
        <w:t xml:space="preserve">Veröffentlich von: </w:t>
      </w:r>
    </w:p>
    <w:p w14:paraId="06452595" w14:textId="77777777" w:rsidR="00D847CA" w:rsidRDefault="00D847CA">
      <w:pPr>
        <w:pStyle w:val="KeinLeerraum"/>
        <w:rPr>
          <w:rStyle w:val="Ohne"/>
          <w:rFonts w:ascii="Arial" w:eastAsia="Arial" w:hAnsi="Arial" w:cs="Arial"/>
          <w:sz w:val="20"/>
          <w:szCs w:val="20"/>
        </w:rPr>
      </w:pPr>
    </w:p>
    <w:p w14:paraId="06452596" w14:textId="77777777" w:rsidR="00D847CA" w:rsidRPr="00065417" w:rsidRDefault="00E94E4F">
      <w:pPr>
        <w:pStyle w:val="KeinLeerraum"/>
        <w:rPr>
          <w:rStyle w:val="Ohne"/>
          <w:rFonts w:ascii="Arial" w:eastAsia="Arial" w:hAnsi="Arial" w:cs="Arial"/>
          <w:sz w:val="20"/>
          <w:szCs w:val="20"/>
          <w:lang w:val="en-US"/>
        </w:rPr>
      </w:pPr>
      <w:r w:rsidRPr="00065417">
        <w:rPr>
          <w:rStyle w:val="Ohne"/>
          <w:rFonts w:ascii="Arial" w:hAnsi="Arial"/>
          <w:sz w:val="20"/>
          <w:szCs w:val="20"/>
          <w:lang w:val="en-US"/>
        </w:rPr>
        <w:t>AD Communications</w:t>
      </w:r>
    </w:p>
    <w:p w14:paraId="06452597" w14:textId="77777777" w:rsidR="00D847CA" w:rsidRPr="00065417" w:rsidRDefault="00E94E4F">
      <w:pPr>
        <w:pStyle w:val="KeinLeerraum"/>
        <w:rPr>
          <w:rStyle w:val="Ohne"/>
          <w:rFonts w:ascii="Arial" w:eastAsia="Arial" w:hAnsi="Arial" w:cs="Arial"/>
          <w:sz w:val="20"/>
          <w:szCs w:val="20"/>
          <w:lang w:val="en-US"/>
        </w:rPr>
      </w:pPr>
      <w:r w:rsidRPr="00065417">
        <w:rPr>
          <w:rStyle w:val="Ohne"/>
          <w:rFonts w:ascii="Arial" w:hAnsi="Arial"/>
          <w:sz w:val="20"/>
          <w:szCs w:val="20"/>
          <w:lang w:val="en-US"/>
        </w:rPr>
        <w:t>Daniel Porter</w:t>
      </w:r>
    </w:p>
    <w:p w14:paraId="06452598" w14:textId="77777777" w:rsidR="00D847CA" w:rsidRPr="00065417" w:rsidRDefault="00E94E4F">
      <w:pPr>
        <w:pStyle w:val="KeinLeerraum"/>
        <w:rPr>
          <w:lang w:val="en-US"/>
        </w:rPr>
      </w:pPr>
      <w:r>
        <w:rPr>
          <w:rStyle w:val="Ohne"/>
          <w:rFonts w:ascii="Arial" w:hAnsi="Arial"/>
          <w:sz w:val="20"/>
          <w:szCs w:val="20"/>
          <w:lang w:val="en-US"/>
        </w:rPr>
        <w:t>E-mail</w:t>
      </w:r>
      <w:r w:rsidRPr="00065417">
        <w:rPr>
          <w:rStyle w:val="Ohne"/>
          <w:rFonts w:ascii="Arial" w:hAnsi="Arial"/>
          <w:sz w:val="20"/>
          <w:szCs w:val="20"/>
          <w:lang w:val="en-US"/>
        </w:rPr>
        <w:t>:</w:t>
      </w:r>
      <w:r>
        <w:rPr>
          <w:rStyle w:val="Ohne"/>
          <w:rFonts w:ascii="Arial" w:hAnsi="Arial"/>
          <w:sz w:val="20"/>
          <w:szCs w:val="20"/>
          <w:lang w:val="en-US"/>
        </w:rPr>
        <w:t xml:space="preserve"> </w:t>
      </w:r>
      <w:hyperlink r:id="rId14" w:history="1">
        <w:r>
          <w:rPr>
            <w:rStyle w:val="Hyperlink2"/>
          </w:rPr>
          <w:t>dporter@adcomms.co.uk</w:t>
        </w:r>
      </w:hyperlink>
    </w:p>
    <w:sectPr w:rsidR="00D847CA" w:rsidRPr="00065417">
      <w:headerReference w:type="default" r:id="rId15"/>
      <w:footerReference w:type="default" r:id="rId16"/>
      <w:pgSz w:w="11900" w:h="16840"/>
      <w:pgMar w:top="3119" w:right="1440" w:bottom="1440" w:left="1440" w:header="1701"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8EA9D" w14:textId="77777777" w:rsidR="00C60410" w:rsidRDefault="00C60410">
      <w:pPr>
        <w:spacing w:after="0" w:line="240" w:lineRule="auto"/>
      </w:pPr>
      <w:r>
        <w:separator/>
      </w:r>
    </w:p>
  </w:endnote>
  <w:endnote w:type="continuationSeparator" w:id="0">
    <w:p w14:paraId="16D669F7" w14:textId="77777777" w:rsidR="00C60410" w:rsidRDefault="00C60410">
      <w:pPr>
        <w:spacing w:after="0" w:line="240" w:lineRule="auto"/>
      </w:pPr>
      <w:r>
        <w:continuationSeparator/>
      </w:r>
    </w:p>
  </w:endnote>
  <w:endnote w:type="continuationNotice" w:id="1">
    <w:p w14:paraId="715EEA11" w14:textId="77777777" w:rsidR="00C60410" w:rsidRDefault="00C604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259C" w14:textId="6DCA7186" w:rsidR="00D847CA" w:rsidRDefault="00E94E4F">
    <w:pPr>
      <w:pStyle w:val="Fuzeile"/>
      <w:tabs>
        <w:tab w:val="clear" w:pos="9026"/>
        <w:tab w:val="right" w:pos="9000"/>
      </w:tabs>
      <w:jc w:val="right"/>
    </w:pPr>
    <w:r>
      <w:rPr>
        <w:rFonts w:ascii="Arial" w:hAnsi="Arial"/>
        <w:sz w:val="18"/>
        <w:szCs w:val="18"/>
      </w:rPr>
      <w:t xml:space="preserve">Seite </w:t>
    </w: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sidR="00E53464">
      <w:rPr>
        <w:rFonts w:ascii="Arial" w:eastAsia="Arial" w:hAnsi="Arial" w:cs="Arial"/>
        <w:noProof/>
        <w:sz w:val="18"/>
        <w:szCs w:val="18"/>
      </w:rPr>
      <w:t>1</w:t>
    </w:r>
    <w:r>
      <w:rPr>
        <w:rFonts w:ascii="Arial" w:eastAsia="Arial" w:hAnsi="Arial" w:cs="Arial"/>
        <w:sz w:val="18"/>
        <w:szCs w:val="18"/>
      </w:rPr>
      <w:fldChar w:fldCharType="end"/>
    </w:r>
    <w:r>
      <w:rPr>
        <w:rFonts w:ascii="Arial" w:hAnsi="Arial"/>
        <w:sz w:val="18"/>
        <w:szCs w:val="18"/>
      </w:rPr>
      <w:t xml:space="preserve"> von </w:t>
    </w:r>
    <w:r>
      <w:rPr>
        <w:rFonts w:ascii="Arial" w:eastAsia="Arial" w:hAnsi="Arial" w:cs="Arial"/>
        <w:sz w:val="18"/>
        <w:szCs w:val="18"/>
      </w:rPr>
      <w:fldChar w:fldCharType="begin"/>
    </w:r>
    <w:r>
      <w:rPr>
        <w:rFonts w:ascii="Arial" w:eastAsia="Arial" w:hAnsi="Arial" w:cs="Arial"/>
        <w:sz w:val="18"/>
        <w:szCs w:val="18"/>
      </w:rPr>
      <w:instrText xml:space="preserve"> NUMPAGES </w:instrText>
    </w:r>
    <w:r>
      <w:rPr>
        <w:rFonts w:ascii="Arial" w:eastAsia="Arial" w:hAnsi="Arial" w:cs="Arial"/>
        <w:sz w:val="18"/>
        <w:szCs w:val="18"/>
      </w:rPr>
      <w:fldChar w:fldCharType="separate"/>
    </w:r>
    <w:r w:rsidR="00E53464">
      <w:rPr>
        <w:rFonts w:ascii="Arial" w:eastAsia="Arial" w:hAnsi="Arial" w:cs="Arial"/>
        <w:noProof/>
        <w:sz w:val="18"/>
        <w:szCs w:val="18"/>
      </w:rPr>
      <w:t>2</w:t>
    </w:r>
    <w:r>
      <w:rPr>
        <w:rFonts w:ascii="Arial" w:eastAsia="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C8077" w14:textId="77777777" w:rsidR="00C60410" w:rsidRDefault="00C60410">
      <w:pPr>
        <w:spacing w:after="0" w:line="240" w:lineRule="auto"/>
      </w:pPr>
      <w:r>
        <w:separator/>
      </w:r>
    </w:p>
  </w:footnote>
  <w:footnote w:type="continuationSeparator" w:id="0">
    <w:p w14:paraId="6C78F56A" w14:textId="77777777" w:rsidR="00C60410" w:rsidRDefault="00C60410">
      <w:pPr>
        <w:spacing w:after="0" w:line="240" w:lineRule="auto"/>
      </w:pPr>
      <w:r>
        <w:continuationSeparator/>
      </w:r>
    </w:p>
  </w:footnote>
  <w:footnote w:type="continuationNotice" w:id="1">
    <w:p w14:paraId="7F14856B" w14:textId="77777777" w:rsidR="00C60410" w:rsidRDefault="00C604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259B" w14:textId="77777777" w:rsidR="00D847CA" w:rsidRDefault="00E94E4F">
    <w:pPr>
      <w:pStyle w:val="Kopfzeile"/>
      <w:tabs>
        <w:tab w:val="clear" w:pos="9026"/>
        <w:tab w:val="right" w:pos="9000"/>
      </w:tabs>
    </w:pPr>
    <w:r>
      <w:rPr>
        <w:noProof/>
      </w:rPr>
      <w:drawing>
        <wp:anchor distT="152400" distB="152400" distL="152400" distR="152400" simplePos="0" relativeHeight="251658240" behindDoc="1" locked="0" layoutInCell="1" allowOverlap="1" wp14:anchorId="0645259D" wp14:editId="0645259E">
          <wp:simplePos x="0" y="0"/>
          <wp:positionH relativeFrom="page">
            <wp:posOffset>5600700</wp:posOffset>
          </wp:positionH>
          <wp:positionV relativeFrom="page">
            <wp:posOffset>965835</wp:posOffset>
          </wp:positionV>
          <wp:extent cx="1382395" cy="499745"/>
          <wp:effectExtent l="0" t="0" r="0" b="0"/>
          <wp:wrapNone/>
          <wp:docPr id="1073741825" name="Grafik 1073741825" descr="gmg_logo_cmyk"/>
          <wp:cNvGraphicFramePr/>
          <a:graphic xmlns:a="http://schemas.openxmlformats.org/drawingml/2006/main">
            <a:graphicData uri="http://schemas.openxmlformats.org/drawingml/2006/picture">
              <pic:pic xmlns:pic="http://schemas.openxmlformats.org/drawingml/2006/picture">
                <pic:nvPicPr>
                  <pic:cNvPr id="1073741825" name="gmg_logo_cmyk" descr="gmg_logo_cmyk"/>
                  <pic:cNvPicPr>
                    <a:picLocks noChangeAspect="1"/>
                  </pic:cNvPicPr>
                </pic:nvPicPr>
                <pic:blipFill>
                  <a:blip r:embed="rId1"/>
                  <a:stretch>
                    <a:fillRect/>
                  </a:stretch>
                </pic:blipFill>
                <pic:spPr>
                  <a:xfrm>
                    <a:off x="0" y="0"/>
                    <a:ext cx="1382395" cy="499745"/>
                  </a:xfrm>
                  <a:prstGeom prst="rect">
                    <a:avLst/>
                  </a:prstGeom>
                  <a:ln w="12700" cap="flat">
                    <a:noFill/>
                    <a:miter lim="400000"/>
                  </a:ln>
                  <a:effectLst/>
                </pic:spPr>
              </pic:pic>
            </a:graphicData>
          </a:graphic>
        </wp:anchor>
      </w:drawing>
    </w:r>
    <w:r>
      <w:rPr>
        <w:rFonts w:ascii="Arial" w:hAnsi="Arial"/>
        <w:sz w:val="36"/>
        <w:szCs w:val="36"/>
      </w:rPr>
      <w:t>Pressemitteilung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D89"/>
    <w:rsid w:val="00065417"/>
    <w:rsid w:val="00652C80"/>
    <w:rsid w:val="00BB2D89"/>
    <w:rsid w:val="00C60410"/>
    <w:rsid w:val="00D847CA"/>
    <w:rsid w:val="00E53464"/>
    <w:rsid w:val="00E94E4F"/>
    <w:rsid w:val="00EB22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5257C"/>
  <w15:docId w15:val="{A0FC1BF2-663A-49B2-B953-F3DD114D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13"/>
        <w:tab w:val="right" w:pos="9026"/>
      </w:tabs>
      <w:spacing w:after="160" w:line="259" w:lineRule="auto"/>
    </w:pPr>
    <w:rPr>
      <w:rFonts w:ascii="Calibri" w:hAnsi="Calibri" w:cs="Arial Unicode MS"/>
      <w:color w:val="000000"/>
      <w:sz w:val="22"/>
      <w:szCs w:val="22"/>
      <w:u w:color="000000"/>
    </w:rPr>
  </w:style>
  <w:style w:type="paragraph" w:styleId="Fuzeile">
    <w:name w:val="footer"/>
    <w:pPr>
      <w:tabs>
        <w:tab w:val="center" w:pos="4513"/>
        <w:tab w:val="right" w:pos="9026"/>
      </w:tabs>
      <w:spacing w:after="160" w:line="259" w:lineRule="auto"/>
    </w:pPr>
    <w:rPr>
      <w:rFonts w:ascii="Calibri" w:hAnsi="Calibri" w:cs="Arial Unicode MS"/>
      <w:color w:val="000000"/>
      <w:sz w:val="22"/>
      <w:szCs w:val="22"/>
      <w:u w:color="000000"/>
    </w:rPr>
  </w:style>
  <w:style w:type="character" w:customStyle="1" w:styleId="OhneA">
    <w:name w:val="Ohne A"/>
    <w:rPr>
      <w:lang w:val="de-DE"/>
    </w:rPr>
  </w:style>
  <w:style w:type="paragraph" w:styleId="KeinLeerraum">
    <w:name w:val="No Spacing"/>
    <w:pPr>
      <w:spacing w:after="160" w:line="259" w:lineRule="auto"/>
      <w:jc w:val="both"/>
    </w:pPr>
    <w:rPr>
      <w:rFonts w:cs="Arial Unicode MS"/>
      <w:color w:val="000000"/>
      <w:sz w:val="18"/>
      <w:szCs w:val="18"/>
      <w:u w:color="000000"/>
    </w:rPr>
  </w:style>
  <w:style w:type="character" w:customStyle="1" w:styleId="Ohne">
    <w:name w:val="Ohne"/>
  </w:style>
  <w:style w:type="character" w:customStyle="1" w:styleId="Hyperlink0">
    <w:name w:val="Hyperlink.0"/>
    <w:basedOn w:val="Ohne"/>
    <w:rPr>
      <w:rFonts w:ascii="Arial" w:eastAsia="Arial" w:hAnsi="Arial" w:cs="Arial"/>
      <w:outline w:val="0"/>
      <w:color w:val="0000FF"/>
      <w:u w:val="single" w:color="0000FF"/>
    </w:rPr>
  </w:style>
  <w:style w:type="character" w:customStyle="1" w:styleId="Hyperlink1">
    <w:name w:val="Hyperlink.1"/>
    <w:basedOn w:val="Ohne"/>
    <w:rPr>
      <w:rFonts w:ascii="Arial" w:eastAsia="Arial" w:hAnsi="Arial" w:cs="Arial"/>
      <w:outline w:val="0"/>
      <w:color w:val="0000FF"/>
      <w:sz w:val="20"/>
      <w:szCs w:val="20"/>
      <w:u w:val="single" w:color="0000FF"/>
    </w:rPr>
  </w:style>
  <w:style w:type="character" w:customStyle="1" w:styleId="Hyperlink2">
    <w:name w:val="Hyperlink.2"/>
    <w:basedOn w:val="Ohne"/>
    <w:rPr>
      <w:rFonts w:ascii="Arial" w:eastAsia="Arial" w:hAnsi="Arial" w:cs="Arial"/>
      <w:outline w:val="0"/>
      <w:color w:val="0000FF"/>
      <w:sz w:val="20"/>
      <w:szCs w:val="20"/>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gmgcolor.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gm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gmgcolo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GMGColor.EN" TargetMode="External"/><Relationship Id="rId4" Type="http://schemas.openxmlformats.org/officeDocument/2006/relationships/settings" Target="settings.xml"/><Relationship Id="rId9" Type="http://schemas.openxmlformats.org/officeDocument/2006/relationships/hyperlink" Target="https://www.gmgcolor.com/" TargetMode="External"/><Relationship Id="rId14" Type="http://schemas.openxmlformats.org/officeDocument/2006/relationships/hyperlink" Target="mailto:dporter@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1768B6E2261D64EB941A4FD35A85FD4" ma:contentTypeVersion="17" ma:contentTypeDescription="Ein neues Dokument erstellen." ma:contentTypeScope="" ma:versionID="5071a843aebf97f388fe0b12a986002d">
  <xsd:schema xmlns:xsd="http://www.w3.org/2001/XMLSchema" xmlns:xs="http://www.w3.org/2001/XMLSchema" xmlns:p="http://schemas.microsoft.com/office/2006/metadata/properties" xmlns:ns2="478001db-a0ab-4bf0-83a8-eea0ae1b0f7f" xmlns:ns3="172c7983-4b4c-4113-ae15-fe75f3131103" targetNamespace="http://schemas.microsoft.com/office/2006/metadata/properties" ma:root="true" ma:fieldsID="bd613a97668bdae3172ec9f2e29696ca" ns2:_="" ns3:_="">
    <xsd:import namespace="478001db-a0ab-4bf0-83a8-eea0ae1b0f7f"/>
    <xsd:import namespace="172c7983-4b4c-4113-ae15-fe75f31311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001db-a0ab-4bf0-83a8-eea0ae1b0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527dd598-711c-4f84-b272-53401904d0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2c7983-4b4c-4113-ae15-fe75f313110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5a2d364-64be-4bc1-b036-567a6d902080}" ma:internalName="TaxCatchAll" ma:showField="CatchAllData" ma:web="172c7983-4b4c-4113-ae15-fe75f313110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95A6AE-F39B-4435-9D51-B3E077A82B9A}">
  <ds:schemaRefs>
    <ds:schemaRef ds:uri="http://schemas.microsoft.com/sharepoint/v3/contenttype/forms"/>
  </ds:schemaRefs>
</ds:datastoreItem>
</file>

<file path=customXml/itemProps2.xml><?xml version="1.0" encoding="utf-8"?>
<ds:datastoreItem xmlns:ds="http://schemas.openxmlformats.org/officeDocument/2006/customXml" ds:itemID="{D289AE93-4627-4524-A655-D6DD0501B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001db-a0ab-4bf0-83a8-eea0ae1b0f7f"/>
    <ds:schemaRef ds:uri="172c7983-4b4c-4113-ae15-fe75f3131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3658</Characters>
  <Application>Microsoft Office Word</Application>
  <DocSecurity>0</DocSecurity>
  <Lines>30</Lines>
  <Paragraphs>8</Paragraphs>
  <ScaleCrop>false</ScaleCrop>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Komander</cp:lastModifiedBy>
  <cp:revision>5</cp:revision>
  <dcterms:created xsi:type="dcterms:W3CDTF">2023-12-08T15:03:00Z</dcterms:created>
  <dcterms:modified xsi:type="dcterms:W3CDTF">2023-12-12T09:40:00Z</dcterms:modified>
</cp:coreProperties>
</file>