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F46969" w:rsidRDefault="004F2B31" w:rsidP="004F2B31">
      <w:pPr>
        <w:spacing w:after="0" w:line="360" w:lineRule="auto"/>
        <w:jc w:val="both"/>
        <w:rPr>
          <w:rFonts w:ascii="Arial" w:eastAsia="Avenir" w:hAnsi="Arial" w:cs="Arial"/>
          <w:color w:val="000000" w:themeColor="text1"/>
          <w:sz w:val="20"/>
          <w:szCs w:val="20"/>
        </w:rPr>
      </w:pPr>
    </w:p>
    <w:p w14:paraId="5C5FDA5E" w14:textId="7245B605" w:rsidR="007F0D03" w:rsidRPr="00F46969" w:rsidRDefault="007F0D03" w:rsidP="007F0D03">
      <w:pPr>
        <w:spacing w:line="360" w:lineRule="auto"/>
        <w:jc w:val="both"/>
        <w:rPr>
          <w:rFonts w:ascii="Arial" w:hAnsi="Arial" w:cs="Arial"/>
          <w:b/>
          <w:bCs/>
        </w:rPr>
      </w:pPr>
      <w:r w:rsidRPr="00F46969">
        <w:rPr>
          <w:rFonts w:ascii="Arial" w:eastAsia="Arial" w:hAnsi="Arial" w:cs="Arial"/>
          <w:b/>
          <w:lang w:bidi="es-ES"/>
        </w:rPr>
        <w:t>2</w:t>
      </w:r>
      <w:r w:rsidR="00E5797E">
        <w:rPr>
          <w:rFonts w:ascii="Arial" w:eastAsia="Arial" w:hAnsi="Arial" w:cs="Arial"/>
          <w:b/>
          <w:lang w:bidi="es-ES"/>
        </w:rPr>
        <w:t>7</w:t>
      </w:r>
      <w:r w:rsidRPr="00F46969">
        <w:rPr>
          <w:rFonts w:ascii="Arial" w:eastAsia="Arial" w:hAnsi="Arial" w:cs="Arial"/>
          <w:b/>
          <w:lang w:bidi="es-ES"/>
        </w:rPr>
        <w:t xml:space="preserve"> de marzo de 2024</w:t>
      </w:r>
    </w:p>
    <w:p w14:paraId="4E95CC1D" w14:textId="77777777" w:rsidR="004F2B31" w:rsidRPr="00F46969"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F46969" w:rsidRDefault="007F0D03" w:rsidP="007F0D03">
      <w:pPr>
        <w:spacing w:after="0" w:line="360" w:lineRule="auto"/>
        <w:jc w:val="both"/>
        <w:rPr>
          <w:rFonts w:ascii="Arial" w:eastAsia="Avenir" w:hAnsi="Arial" w:cs="Arial"/>
          <w:b/>
          <w:bCs/>
          <w:color w:val="000000" w:themeColor="text1"/>
          <w:sz w:val="24"/>
          <w:szCs w:val="24"/>
        </w:rPr>
      </w:pPr>
      <w:r w:rsidRPr="00F46969">
        <w:rPr>
          <w:rFonts w:ascii="Arial" w:eastAsia="Avenir" w:hAnsi="Arial" w:cs="Arial"/>
          <w:b/>
          <w:color w:val="000000" w:themeColor="text1"/>
          <w:sz w:val="24"/>
          <w:szCs w:val="24"/>
          <w:lang w:bidi="es-ES"/>
        </w:rPr>
        <w:t>Fujifilm presenta una nueva tinta de inyección de tinta con la tecnología patentada AQUAFUZE, que combina la tecnología de tinta a base de agua y curable por UV</w:t>
      </w:r>
    </w:p>
    <w:p w14:paraId="270F4E1E" w14:textId="77777777" w:rsidR="004F2B31" w:rsidRPr="00F46969"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Pr="00F46969" w:rsidRDefault="007F0D03" w:rsidP="007F0D03">
      <w:pPr>
        <w:spacing w:after="0" w:line="360" w:lineRule="auto"/>
        <w:jc w:val="both"/>
        <w:rPr>
          <w:rFonts w:ascii="Arial" w:eastAsia="Avenir" w:hAnsi="Arial" w:cs="Arial"/>
          <w:i/>
          <w:iCs/>
          <w:color w:val="000000" w:themeColor="text1"/>
          <w:sz w:val="20"/>
          <w:szCs w:val="20"/>
        </w:rPr>
      </w:pPr>
      <w:r w:rsidRPr="00F46969">
        <w:rPr>
          <w:rFonts w:ascii="Arial" w:eastAsia="Avenir" w:hAnsi="Arial" w:cs="Arial"/>
          <w:i/>
          <w:color w:val="000000" w:themeColor="text1"/>
          <w:sz w:val="20"/>
          <w:szCs w:val="20"/>
          <w:lang w:bidi="es-ES"/>
        </w:rPr>
        <w:t>Esta nueva tecnología de tinta abre nuevas posibilidades para las aplicaciones de impresión de inyección de tinta de gran formato</w:t>
      </w:r>
    </w:p>
    <w:p w14:paraId="5CAA731E" w14:textId="77777777" w:rsidR="007F0D03" w:rsidRPr="00F46969"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Fujifilm Group anuncia el desarrollo de una nueva tecnología, la tecnología de tinta de inyección de tinta AQUAFUZE, que combina tinta a base de agua y curable UV para aplicaciones de impresión de inyección de tinta de gran formato. La nueva tinta acuosa de curado UV se lanzará en otoño de 2024.</w:t>
      </w:r>
    </w:p>
    <w:p w14:paraId="56CB417F"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La tecnología de tinta de inyección de tinta AQUAFUZE es la tecnología patentada de Fujifilm Group para la dispersión estable en agua de fotopolímeros. Fujifilm Group ha aplicado su tecnología de síntesis original para materiales altamente funcionales y tecnología de dispersión de partículas. Sobre la base de esta dispersión, Fujifilm Group ha desarrollado una nueva tinta acuosa curable por UV mediante la combinación de las tecnologías de formulación de tintas a base de agua y de curado UV.</w:t>
      </w:r>
    </w:p>
    <w:p w14:paraId="686EE412"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hint="eastAsia"/>
          <w:color w:val="000000" w:themeColor="text1"/>
          <w:sz w:val="20"/>
          <w:szCs w:val="20"/>
          <w:lang w:bidi="es-ES"/>
        </w:rPr>
        <w:t>La tinta acuosa curable por UV es adecuada para aplicaciones de señalización y papel pintado en interiores, lo que satisface las crecientes necesidades del mercado de gran formato. Proporciona una tinta segura e inodora durante la impresión, además de ofrecer un alto nivel de resistencia al roce y compatibilidad con una variedad de sustratos de impresión. Se espera que la tinta acuosa curable UV con tecnología de tinta de inyección de tinta AQUAFUZE se convierta en el nuevo estándar en el mercado de gran formato y amplía el alcance del negocio de los clientes en el futuro.</w:t>
      </w:r>
    </w:p>
    <w:p w14:paraId="3C43C8FE"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noProof/>
          <w:color w:val="000000" w:themeColor="text1"/>
          <w:sz w:val="20"/>
          <w:szCs w:val="20"/>
          <w:lang w:bidi="es-ES"/>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b/>
          <w:noProof/>
          <w:color w:val="000000" w:themeColor="text1"/>
          <w:sz w:val="20"/>
          <w:szCs w:val="20"/>
          <w:lang w:bidi="es-ES"/>
        </w:rPr>
        <w:drawing>
          <wp:anchor distT="0" distB="0" distL="114300" distR="114300" simplePos="0" relativeHeight="251659264" behindDoc="1" locked="0" layoutInCell="1" allowOverlap="1" wp14:anchorId="3977CA3B" wp14:editId="7764E3B6">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noProof/>
          <w:color w:val="000000" w:themeColor="text1"/>
          <w:sz w:val="20"/>
          <w:szCs w:val="20"/>
          <w:lang w:bidi="es-ES"/>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es-ES"/>
                              </w:rPr>
                              <w:t>Componentes de la tinta AQUAFUZE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es-ES"/>
                        </w:rPr>
                        <w:t>Componentes de la tinta AQUAFUZE</w:t>
                      </w:r>
                    </w:p>
                  </w:txbxContent>
                </v:textbox>
                <w10:wrap anchorx="margin"/>
              </v:shape>
            </w:pict>
          </mc:Fallback>
        </mc:AlternateContent>
      </w:r>
    </w:p>
    <w:p w14:paraId="40B2B413"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b/>
          <w:noProof/>
          <w:color w:val="000000" w:themeColor="text1"/>
          <w:sz w:val="20"/>
          <w:szCs w:val="20"/>
          <w:lang w:bidi="es-ES"/>
        </w:rPr>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noProof/>
          <w:color w:val="000000" w:themeColor="text1"/>
          <w:sz w:val="20"/>
          <w:szCs w:val="20"/>
          <w:lang w:bidi="es-ES"/>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es-ES"/>
                              </w:rPr>
                              <w:t>Proceso de fijación de tinta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es-ES"/>
                        </w:rPr>
                        <w:t>Proceso de fijación de tinta</w:t>
                      </w:r>
                    </w:p>
                  </w:txbxContent>
                </v:textbox>
                <w10:wrap anchorx="margin"/>
              </v:shape>
            </w:pict>
          </mc:Fallback>
        </mc:AlternateContent>
      </w:r>
    </w:p>
    <w:p w14:paraId="37871EF9"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Las tintas de inyección de tinta industriales se clasifican en tres tipos: a base de agua, solventes y curables por UV. El usuario selecciona estas tintas en función de sus características y aplicaciones de impresión. En la impresión de inyección de tinta de gran formato, se utilizan principalmente tintas a base de agua que curan con calor y tintas curables UV que se curan con radiación de luz. A medida que el campo del gran formato sigue creciendo, las aplicaciones y los sustratos de impresión son cada vez más diversos. Como resultado, los usuarios ahora requieren tintas que ofrezcan una alta durabilidad para los materiales impresos y capacidad de estiramiento para las películas de tinta. Estas características son necesarias para el doblado y procesamiento de productos. Además, los usuarios también dan prioridad a la seguridad de la tinta, lo que incluye evitar la volatilización del disolvente y minimizar los olores generados durante la impresión. Este es un factor importante a la hora de elegir una tinta.</w:t>
      </w:r>
    </w:p>
    <w:p w14:paraId="2754AD1E"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 xml:space="preserve">La tecnología de tinta de inyección de tinta AQUAFUZE se exhibirá en el estand de Fujifilm Group en drupa 2024. </w:t>
      </w:r>
    </w:p>
    <w:p w14:paraId="76686EA1"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F46969" w:rsidRDefault="007F0D03" w:rsidP="007F0D03">
      <w:pPr>
        <w:spacing w:after="0" w:line="360" w:lineRule="auto"/>
        <w:jc w:val="both"/>
        <w:rPr>
          <w:rFonts w:ascii="Arial" w:eastAsia="Avenir" w:hAnsi="Arial" w:cs="Arial"/>
          <w:b/>
          <w:bCs/>
          <w:color w:val="000000" w:themeColor="text1"/>
          <w:sz w:val="20"/>
          <w:szCs w:val="20"/>
        </w:rPr>
      </w:pPr>
      <w:r w:rsidRPr="00F46969">
        <w:rPr>
          <w:rFonts w:ascii="Arial" w:eastAsia="Avenir" w:hAnsi="Arial" w:cs="Arial" w:hint="eastAsia"/>
          <w:b/>
          <w:color w:val="000000" w:themeColor="text1"/>
          <w:sz w:val="20"/>
          <w:szCs w:val="20"/>
          <w:lang w:bidi="es-ES"/>
        </w:rPr>
        <w:t>Las principales características de la tinta acuosa curable UV desarrollada por la tecnología de tinta de inyección de tinta AQUAFUZE:</w:t>
      </w:r>
    </w:p>
    <w:p w14:paraId="1D0E5C42" w14:textId="77777777" w:rsidR="007F0D03" w:rsidRPr="00F46969"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F46969" w:rsidRDefault="007F0D03" w:rsidP="007F0D03">
      <w:pPr>
        <w:numPr>
          <w:ilvl w:val="0"/>
          <w:numId w:val="4"/>
        </w:numPr>
        <w:spacing w:after="0" w:line="360" w:lineRule="auto"/>
        <w:jc w:val="both"/>
        <w:rPr>
          <w:rFonts w:ascii="Arial" w:eastAsia="Avenir" w:hAnsi="Arial" w:cs="Arial"/>
          <w:color w:val="000000" w:themeColor="text1"/>
          <w:sz w:val="20"/>
          <w:szCs w:val="20"/>
        </w:rPr>
      </w:pPr>
      <w:r w:rsidRPr="00F46969">
        <w:rPr>
          <w:rFonts w:ascii="Arial" w:eastAsia="Avenir" w:hAnsi="Arial" w:cs="Arial" w:hint="eastAsia"/>
          <w:color w:val="000000" w:themeColor="text1"/>
          <w:sz w:val="20"/>
          <w:szCs w:val="20"/>
          <w:lang w:bidi="es-ES"/>
        </w:rPr>
        <w:t>El uso de dispersión de fotopolímeros reduce la obstrucción del cabezal de impresión de inyección de tinta debido al secado de la tinta y logra una expulsión de tinta estable.</w:t>
      </w:r>
    </w:p>
    <w:p w14:paraId="5CCF5537" w14:textId="77777777" w:rsidR="007F0D03" w:rsidRPr="00F46969" w:rsidRDefault="007F0D03" w:rsidP="007F0D03">
      <w:pPr>
        <w:numPr>
          <w:ilvl w:val="0"/>
          <w:numId w:val="4"/>
        </w:numPr>
        <w:spacing w:after="0" w:line="360" w:lineRule="auto"/>
        <w:jc w:val="both"/>
        <w:rPr>
          <w:rFonts w:ascii="Arial" w:eastAsia="Avenir" w:hAnsi="Arial" w:cs="Arial"/>
          <w:color w:val="000000" w:themeColor="text1"/>
          <w:sz w:val="20"/>
          <w:szCs w:val="20"/>
        </w:rPr>
      </w:pPr>
      <w:r w:rsidRPr="00F46969">
        <w:rPr>
          <w:rFonts w:ascii="Arial" w:eastAsia="Avenir" w:hAnsi="Arial" w:cs="Arial" w:hint="eastAsia"/>
          <w:color w:val="000000" w:themeColor="text1"/>
          <w:sz w:val="20"/>
          <w:szCs w:val="20"/>
          <w:lang w:bidi="es-ES"/>
        </w:rPr>
        <w:t>La tinta se adhiere a una amplia variedad de sustratos sin necesidad de imprimaciones y optimizadores previos.</w:t>
      </w:r>
    </w:p>
    <w:p w14:paraId="1904FAB2" w14:textId="77777777" w:rsidR="007F0D03" w:rsidRPr="00F46969" w:rsidRDefault="007F0D03" w:rsidP="007F0D03">
      <w:pPr>
        <w:numPr>
          <w:ilvl w:val="0"/>
          <w:numId w:val="4"/>
        </w:num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lastRenderedPageBreak/>
        <w:t>El grosor de la imagen impresa se reduce y la superficie de la tinta se vuelve más uniforme, lo que da como resultado un reflejo de la luz y crea una apariencia brillante.</w:t>
      </w:r>
    </w:p>
    <w:p w14:paraId="6F123EBA" w14:textId="77777777" w:rsidR="007F0D03" w:rsidRPr="00F46969" w:rsidRDefault="007F0D03" w:rsidP="007F0D03">
      <w:pPr>
        <w:numPr>
          <w:ilvl w:val="0"/>
          <w:numId w:val="4"/>
        </w:num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 xml:space="preserve">El curado UV elimina la necesidad de una capa superior en el sustrato impreso. </w:t>
      </w:r>
    </w:p>
    <w:p w14:paraId="29FD4B06" w14:textId="77777777" w:rsidR="007F0D03" w:rsidRPr="00F46969" w:rsidRDefault="007F0D03" w:rsidP="007F0D03">
      <w:pPr>
        <w:numPr>
          <w:ilvl w:val="0"/>
          <w:numId w:val="4"/>
        </w:numPr>
        <w:spacing w:after="0" w:line="360" w:lineRule="auto"/>
        <w:jc w:val="both"/>
        <w:rPr>
          <w:rFonts w:ascii="Arial" w:eastAsia="Avenir" w:hAnsi="Arial" w:cs="Arial"/>
          <w:color w:val="000000" w:themeColor="text1"/>
          <w:sz w:val="20"/>
          <w:szCs w:val="20"/>
        </w:rPr>
      </w:pPr>
      <w:r w:rsidRPr="00F46969">
        <w:rPr>
          <w:rFonts w:ascii="Arial" w:eastAsia="Avenir" w:hAnsi="Arial" w:cs="Arial"/>
          <w:color w:val="000000" w:themeColor="text1"/>
          <w:sz w:val="20"/>
          <w:szCs w:val="20"/>
          <w:lang w:bidi="es-ES"/>
        </w:rPr>
        <w:t>Se reduce el olor a tinta, lo que mejora la seguridad del usuario.</w:t>
      </w:r>
    </w:p>
    <w:p w14:paraId="7533FCEB" w14:textId="77777777" w:rsidR="007F0D03" w:rsidRPr="00F46969"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F46969" w:rsidRDefault="007F0D03" w:rsidP="007F0D03">
      <w:pPr>
        <w:spacing w:after="0" w:line="360" w:lineRule="auto"/>
        <w:jc w:val="both"/>
        <w:rPr>
          <w:rFonts w:ascii="Arial" w:eastAsia="Avenir" w:hAnsi="Arial" w:cs="Arial"/>
          <w:color w:val="000000" w:themeColor="text1"/>
          <w:sz w:val="20"/>
          <w:szCs w:val="20"/>
        </w:rPr>
      </w:pPr>
      <w:r w:rsidRPr="00F46969">
        <w:rPr>
          <w:rFonts w:ascii="Arial" w:eastAsia="Avenir" w:hAnsi="Arial" w:cs="Arial" w:hint="eastAsia"/>
          <w:color w:val="000000" w:themeColor="text1"/>
          <w:sz w:val="20"/>
          <w:szCs w:val="20"/>
          <w:vertAlign w:val="superscript"/>
          <w:lang w:bidi="es-ES"/>
        </w:rPr>
        <w:t>*1</w:t>
      </w:r>
      <w:r w:rsidRPr="00F46969">
        <w:rPr>
          <w:rFonts w:ascii="Arial" w:eastAsia="Avenir" w:hAnsi="Arial" w:cs="Arial"/>
          <w:color w:val="000000" w:themeColor="text1"/>
          <w:sz w:val="20"/>
          <w:szCs w:val="20"/>
          <w:lang w:bidi="es-ES"/>
        </w:rPr>
        <w:t xml:space="preserve"> Resina disuelta en agua que experimenta una reacción de curado por irradiación de luz UV</w:t>
      </w:r>
    </w:p>
    <w:p w14:paraId="32966A6F" w14:textId="77777777" w:rsidR="004F2B31" w:rsidRPr="00F46969"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F46969"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F46969"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F46969" w:rsidRDefault="00F557E2" w:rsidP="005117B0">
      <w:pPr>
        <w:spacing w:line="360" w:lineRule="auto"/>
        <w:jc w:val="center"/>
        <w:rPr>
          <w:rFonts w:ascii="Arial" w:hAnsi="Arial" w:cs="Arial"/>
          <w:b/>
          <w:bCs/>
          <w:color w:val="000000"/>
          <w:sz w:val="20"/>
          <w:szCs w:val="20"/>
          <w:lang w:eastAsia="ar-SA"/>
        </w:rPr>
      </w:pPr>
      <w:r w:rsidRPr="00F46969">
        <w:rPr>
          <w:rFonts w:ascii="Arial" w:eastAsia="Arial" w:hAnsi="Arial" w:cs="Arial"/>
          <w:b/>
          <w:color w:val="000000"/>
          <w:sz w:val="20"/>
          <w:szCs w:val="20"/>
          <w:lang w:bidi="es-ES"/>
        </w:rPr>
        <w:t>FIN</w:t>
      </w:r>
    </w:p>
    <w:p w14:paraId="650A24CF" w14:textId="77777777" w:rsidR="00F557E2" w:rsidRPr="00F46969"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F46969"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F46969" w:rsidRDefault="00F557E2" w:rsidP="006104CF">
      <w:pPr>
        <w:suppressAutoHyphens/>
        <w:spacing w:after="0" w:line="360" w:lineRule="auto"/>
        <w:jc w:val="both"/>
        <w:rPr>
          <w:rFonts w:ascii="Arial" w:hAnsi="Arial" w:cs="Arial"/>
          <w:b/>
          <w:bCs/>
          <w:color w:val="000000"/>
          <w:sz w:val="20"/>
          <w:szCs w:val="20"/>
          <w:lang w:eastAsia="ar-SA"/>
        </w:rPr>
      </w:pPr>
    </w:p>
    <w:p w14:paraId="68C526E4"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Corporation</w:t>
      </w:r>
      <w:r>
        <w:rPr>
          <w:rStyle w:val="normaltextrun"/>
          <w:rFonts w:ascii="Arial" w:hAnsi="Arial" w:cs="Arial"/>
          <w:sz w:val="20"/>
          <w:szCs w:val="20"/>
        </w:rPr>
        <w:t>      </w:t>
      </w:r>
      <w:r>
        <w:rPr>
          <w:rStyle w:val="eop"/>
          <w:rFonts w:ascii="Arial" w:hAnsi="Arial" w:cs="Arial"/>
          <w:sz w:val="20"/>
          <w:szCs w:val="20"/>
        </w:rPr>
        <w:t> </w:t>
      </w:r>
    </w:p>
    <w:p w14:paraId="6E71DA88"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r>
        <w:rPr>
          <w:rStyle w:val="normaltextrun"/>
          <w:rFonts w:ascii="Arial" w:hAnsi="Arial" w:cs="Arial"/>
          <w:color w:val="000000"/>
          <w:sz w:val="20"/>
          <w:szCs w:val="20"/>
        </w:rPr>
        <w:t>Corporation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20D98E37"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531A2BB"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C3CB619"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7022D8F0"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3"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4"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03E952C5" w14:textId="77777777" w:rsidR="00E5797E" w:rsidRDefault="00E5797E" w:rsidP="00E579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2919127B" w14:textId="77777777" w:rsidR="00E5797E" w:rsidRDefault="00E5797E" w:rsidP="00E579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41E6B407" w14:textId="77777777" w:rsidR="00E5797E" w:rsidRDefault="00E5797E" w:rsidP="00E579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8710023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5"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87100230"/>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4A9544FD" w14:textId="77777777" w:rsidR="00E5797E" w:rsidRDefault="00E5797E" w:rsidP="00E5797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E232D7" w14:textId="63868B86" w:rsidR="00C03ED1" w:rsidRPr="00852C1C" w:rsidRDefault="00C03ED1" w:rsidP="00E5797E">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2A8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758739">
    <w:abstractNumId w:val="2"/>
  </w:num>
  <w:num w:numId="2" w16cid:durableId="567346721">
    <w:abstractNumId w:val="3"/>
  </w:num>
  <w:num w:numId="3" w16cid:durableId="1003629454">
    <w:abstractNumId w:val="1"/>
  </w:num>
  <w:num w:numId="4" w16cid:durableId="198045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4969"/>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2E2C"/>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97E"/>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969"/>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character" w:customStyle="1" w:styleId="scxw87100230">
    <w:name w:val="scxw87100230"/>
    <w:basedOn w:val="DefaultParagraphFont"/>
    <w:rsid w:val="00E5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28903228">
      <w:bodyDiv w:val="1"/>
      <w:marLeft w:val="0"/>
      <w:marRight w:val="0"/>
      <w:marTop w:val="0"/>
      <w:marBottom w:val="0"/>
      <w:divBdr>
        <w:top w:val="none" w:sz="0" w:space="0" w:color="auto"/>
        <w:left w:val="none" w:sz="0" w:space="0" w:color="auto"/>
        <w:bottom w:val="none" w:sz="0" w:space="0" w:color="auto"/>
        <w:right w:val="none" w:sz="0" w:space="0" w:color="auto"/>
      </w:divBdr>
      <w:divsChild>
        <w:div w:id="903564023">
          <w:marLeft w:val="0"/>
          <w:marRight w:val="0"/>
          <w:marTop w:val="0"/>
          <w:marBottom w:val="0"/>
          <w:divBdr>
            <w:top w:val="none" w:sz="0" w:space="0" w:color="auto"/>
            <w:left w:val="none" w:sz="0" w:space="0" w:color="auto"/>
            <w:bottom w:val="none" w:sz="0" w:space="0" w:color="auto"/>
            <w:right w:val="none" w:sz="0" w:space="0" w:color="auto"/>
          </w:divBdr>
        </w:div>
        <w:div w:id="1981378876">
          <w:marLeft w:val="0"/>
          <w:marRight w:val="0"/>
          <w:marTop w:val="0"/>
          <w:marBottom w:val="0"/>
          <w:divBdr>
            <w:top w:val="none" w:sz="0" w:space="0" w:color="auto"/>
            <w:left w:val="none" w:sz="0" w:space="0" w:color="auto"/>
            <w:bottom w:val="none" w:sz="0" w:space="0" w:color="auto"/>
            <w:right w:val="none" w:sz="0" w:space="0" w:color="auto"/>
          </w:divBdr>
        </w:div>
        <w:div w:id="967010394">
          <w:marLeft w:val="0"/>
          <w:marRight w:val="0"/>
          <w:marTop w:val="0"/>
          <w:marBottom w:val="0"/>
          <w:divBdr>
            <w:top w:val="none" w:sz="0" w:space="0" w:color="auto"/>
            <w:left w:val="none" w:sz="0" w:space="0" w:color="auto"/>
            <w:bottom w:val="none" w:sz="0" w:space="0" w:color="auto"/>
            <w:right w:val="none" w:sz="0" w:space="0" w:color="auto"/>
          </w:divBdr>
        </w:div>
        <w:div w:id="1788041741">
          <w:marLeft w:val="0"/>
          <w:marRight w:val="0"/>
          <w:marTop w:val="0"/>
          <w:marBottom w:val="0"/>
          <w:divBdr>
            <w:top w:val="none" w:sz="0" w:space="0" w:color="auto"/>
            <w:left w:val="none" w:sz="0" w:space="0" w:color="auto"/>
            <w:bottom w:val="none" w:sz="0" w:space="0" w:color="auto"/>
            <w:right w:val="none" w:sz="0" w:space="0" w:color="auto"/>
          </w:divBdr>
        </w:div>
        <w:div w:id="1306355203">
          <w:marLeft w:val="0"/>
          <w:marRight w:val="0"/>
          <w:marTop w:val="0"/>
          <w:marBottom w:val="0"/>
          <w:divBdr>
            <w:top w:val="none" w:sz="0" w:space="0" w:color="auto"/>
            <w:left w:val="none" w:sz="0" w:space="0" w:color="auto"/>
            <w:bottom w:val="none" w:sz="0" w:space="0" w:color="auto"/>
            <w:right w:val="none" w:sz="0" w:space="0" w:color="auto"/>
          </w:divBdr>
        </w:div>
        <w:div w:id="470680476">
          <w:marLeft w:val="0"/>
          <w:marRight w:val="0"/>
          <w:marTop w:val="0"/>
          <w:marBottom w:val="0"/>
          <w:divBdr>
            <w:top w:val="none" w:sz="0" w:space="0" w:color="auto"/>
            <w:left w:val="none" w:sz="0" w:space="0" w:color="auto"/>
            <w:bottom w:val="none" w:sz="0" w:space="0" w:color="auto"/>
            <w:right w:val="none" w:sz="0" w:space="0" w:color="auto"/>
          </w:divBdr>
        </w:div>
        <w:div w:id="1891264794">
          <w:marLeft w:val="0"/>
          <w:marRight w:val="0"/>
          <w:marTop w:val="0"/>
          <w:marBottom w:val="0"/>
          <w:divBdr>
            <w:top w:val="none" w:sz="0" w:space="0" w:color="auto"/>
            <w:left w:val="none" w:sz="0" w:space="0" w:color="auto"/>
            <w:bottom w:val="none" w:sz="0" w:space="0" w:color="auto"/>
            <w:right w:val="none" w:sz="0" w:space="0" w:color="auto"/>
          </w:divBdr>
        </w:div>
        <w:div w:id="638078359">
          <w:marLeft w:val="0"/>
          <w:marRight w:val="0"/>
          <w:marTop w:val="0"/>
          <w:marBottom w:val="0"/>
          <w:divBdr>
            <w:top w:val="none" w:sz="0" w:space="0" w:color="auto"/>
            <w:left w:val="none" w:sz="0" w:space="0" w:color="auto"/>
            <w:bottom w:val="none" w:sz="0" w:space="0" w:color="auto"/>
            <w:right w:val="none" w:sz="0" w:space="0" w:color="auto"/>
          </w:divBdr>
        </w:div>
        <w:div w:id="1156848121">
          <w:marLeft w:val="0"/>
          <w:marRight w:val="0"/>
          <w:marTop w:val="0"/>
          <w:marBottom w:val="0"/>
          <w:divBdr>
            <w:top w:val="none" w:sz="0" w:space="0" w:color="auto"/>
            <w:left w:val="none" w:sz="0" w:space="0" w:color="auto"/>
            <w:bottom w:val="none" w:sz="0" w:space="0" w:color="auto"/>
            <w:right w:val="none" w:sz="0" w:space="0" w:color="auto"/>
          </w:divBdr>
        </w:div>
        <w:div w:id="2060670037">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jifilmprint.eu/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porter@adcomms.co.uk"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2024-03-20T14:28:00Z</dcterms:created>
  <dcterms:modified xsi:type="dcterms:W3CDTF">2024-03-21T14:25:00Z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