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</w:p>
    <w:p w14:paraId="4039D38F" w14:textId="77777777" w:rsidR="00A9300D" w:rsidRDefault="00A9300D" w:rsidP="002F6015">
      <w:pPr>
        <w:spacing w:line="360" w:lineRule="auto"/>
        <w:jc w:val="both"/>
        <w:rPr>
          <w:rFonts w:ascii="Arial" w:hAnsi="Arial" w:cs="Arial"/>
          <w:b/>
          <w:bCs/>
        </w:rPr>
      </w:pPr>
      <w:r w:rsidRPr="00A9300D">
        <w:rPr>
          <w:rFonts w:ascii="Arial" w:hAnsi="Arial" w:cs="Arial"/>
          <w:b/>
          <w:bCs/>
        </w:rPr>
        <w:t>25 de junho de 2024</w:t>
      </w:r>
    </w:p>
    <w:p w14:paraId="6C485AE8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00D">
        <w:rPr>
          <w:rFonts w:ascii="Arial" w:hAnsi="Arial" w:cs="Arial"/>
          <w:b/>
          <w:bCs/>
          <w:sz w:val="24"/>
          <w:szCs w:val="24"/>
        </w:rPr>
        <w:t>EA Printing impressionada com a produtividade e o potencial criativo da Revoria Press PC1120.</w:t>
      </w:r>
    </w:p>
    <w:p w14:paraId="25BC867E" w14:textId="02F0DC3F" w:rsidR="00A9300D" w:rsidRPr="00A9300D" w:rsidRDefault="00A9300D" w:rsidP="00A9300D">
      <w:pPr>
        <w:spacing w:line="360" w:lineRule="auto"/>
        <w:jc w:val="both"/>
        <w:rPr>
          <w:rFonts w:ascii="Arial" w:hAnsi="Arial" w:cs="Arial"/>
          <w:i/>
          <w:iCs/>
        </w:rPr>
      </w:pPr>
      <w:r w:rsidRPr="00A9300D">
        <w:rPr>
          <w:rFonts w:ascii="Arial" w:hAnsi="Arial" w:cs="Arial"/>
          <w:i/>
          <w:iCs/>
        </w:rPr>
        <w:t>As cores especiais, a qualidade e a produtividade são apresentados pela empresa gráfica especializada do Reino Unido como fatores relevantes por trás da decisão de investimento em dezembro de 2023</w:t>
      </w:r>
    </w:p>
    <w:p w14:paraId="40A6B378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Uma pequena empresa em termos de dimensão física, a EA Printing, com sede em Leicestershire, colabora com um vasto leque de importantes marcas no Reino Unido e a nível mundial, tanto diretamente como através de agências criativas. Com oferta de uma ampla gama de serviços, desde a impressão digital aos grandes formatos, tipografia, cunhagem, gravação em relevo e afundamento, a EA Printing é especialista em trabalhos complexos e conceituais que os seus clientes têm dificuldade em realizar em qualquer outro lugar.</w:t>
      </w:r>
    </w:p>
    <w:p w14:paraId="6F3EA560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A precisar de substituir um dispositivo de toner em fim de vida útil, os proprietários da empresa extremamente práticos, Matt Saulsbury e David Kennedy, tiveram em consideração uma série de opções antes de escolherem a Revoria Press PC1120.</w:t>
      </w:r>
    </w:p>
    <w:p w14:paraId="7F7DD44E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Saulsbury comenta: “Nunca tínhamos trabalhado com a Fujifilm, pois, até recentemente, não tinham estado diretamente envolvidos no mercado dos toners no Reino Unido. Apesar de, obviamente e como todos sabem, as impressoras de toner fabricadas pela Fujifilm já estarem presentes no mercado há muito tempo e de nós mesmos já usarmos uma há alguns anos. Fiquei sempre bastante impressionado com a tecnologia, pelo que, quando comecei a ver alguns artigos na imprensa especializada sobre a entrada da Fujifilm diretamente no mercado dos toners no Reino Unido, fiquei interessado. Conheço a qualidade dos seus produtos e gostei da ideia de trabalhar com eles diretamente.</w:t>
      </w:r>
    </w:p>
    <w:p w14:paraId="04C6AC19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“Por fim, foi uma vista de um representante de vendas para grandes formatos da Fujifilm que realmente deu despoletou o processo. Veio falar connosco sobre os grandes formatos, mas rapidamente começámos a falar sobre a Revoria, e tudo começou aí.</w:t>
      </w:r>
    </w:p>
    <w:p w14:paraId="7A07917D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lastRenderedPageBreak/>
        <w:t>“Tivemos em consideração algumas outras opções, incluindo permanecer com o nosso fornecedor da altura, mas acabámos por decidir que era preciso aproveitar a oportunidade para investir em algo que iria ajudar a diferenciar a nossa oferta e a desenvolver o nosso negócio, em vez de simplesmente ficarmos quietos e continuarmos como estávamos. Quando tomámos essa decisão, a escolha foi óbvia.”</w:t>
      </w:r>
    </w:p>
    <w:p w14:paraId="2B8A3650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A Revoria Press PC1120 da EA Printing foi instalada no final de dezembro de 2023 e começou logo a trabalhar a partir do início de janeiro. “Começou logo a ser utilizada de forma intensiva,” continua Saulsbury. “Mesmo antes de termos concluído a nossa formação sobre a sua utilização, começámos a receber trabalhos. Ficámos bastante satisfeitos com o facto de ter a opção de tinta branca, com todos os pedidos que recebemos para impressão em cartão escuro ou colorido. Também vimos imediatamente o potencial das opções de tinta dourada e prateada para conquistar trabalhos de grande valor com efeitos metálicos. Mas, com alguma surpresa para nós, a principal vantagem até ao momento tem sido a tinta rosa – que já nos fez conquistar alguns trabalhos de cartões de felicitações. A agência criativa que encomendava os cartões de felicitações precisava de um fornecedor de impressão que conseguisse produzir cores fluorescentes, e o rosa fluorescente que conseguimos obter na PC1120 era precisamente aquilo de que precisavam.</w:t>
      </w:r>
    </w:p>
    <w:p w14:paraId="349E88EA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“A outra vantagem do rosa, de um ponto de vista muito mais prático, é o facto de, agora, conseguirmos igualar muitas mais cores pantone do que antes. Os clientes estão sempre a trazer cores ligeiramente fora do normal e a perguntar-nos se conseguimos igualá-las. Com o rosa, já o conseguimos fazer com maior frequência que antes.”</w:t>
      </w:r>
    </w:p>
    <w:p w14:paraId="54D62947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Com um leque tão alargado de coisas que a empresa consegue agora oferecer, a EA Printing está a planear alguns eventos de casa aberta para as agências criativas virem e testemunharem o potencial criativo das cores especiais que já conseguimos oferecer. Além das cores especiais, Saulsbury também destaca a maior produtividade e qualidade comparativamente à sua impressora anterior.</w:t>
      </w:r>
    </w:p>
    <w:p w14:paraId="0F88189F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 xml:space="preserve">“A qualidade surpreendeu-me.” Confessa Saulsbury. “Sabia que era uma evolução – mas não estava à espera que a evolução fosse tão grande como </w:t>
      </w:r>
      <w:r w:rsidRPr="00A9300D">
        <w:rPr>
          <w:rFonts w:ascii="Arial" w:hAnsi="Arial" w:cs="Arial"/>
          <w:lang w:eastAsia="ja-JP"/>
        </w:rPr>
        <w:lastRenderedPageBreak/>
        <w:t>foi. Foi realmente evidente para nós e também tivemos clientes a destacar esse facto.</w:t>
      </w:r>
    </w:p>
    <w:p w14:paraId="2E4ACE7E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“Também é muito mais rápida que a que tínhamos antes, o que é particularmente evidente quando estamos a produzir trabalhos de impressão de maior tiragem. Depois, temos a opção de formato de folha longa, que também podemos imprimir de frente e verso com um tabuleiro de alta capacidade. Tudo junto, resulta num significativo aumento na produtividade.”</w:t>
      </w:r>
    </w:p>
    <w:p w14:paraId="259F4D9F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Num mercado desafiante, Saulsbury tem confiança nas perspetivas da sua própria empresa e considera o seu investimento e a parceria com a Fujifilm como passos positivos para enfrentar o futuro.</w:t>
      </w:r>
    </w:p>
    <w:p w14:paraId="0532350B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“O nosso negócio está a correr realmente bem,” afirma ele. “Mas a realidade é bastante complexa e nunca se pode relaxar. Recentemente, vi muitas empresas gráficas da nossa dimensão, bem como muitas de maior dimensão, a ficarem sem trabalho. É preciso olhar para o futuro, ver o que pode melhorar, o que pode fazer de forma diferente. É preciso assumir riscos. O investimento na Revoria PC1120 representou uma enorme despesa para uma pequena empresa como a nossa. Mas permitiu-nos aumentar significativamente a oferta aos nossos clientes e, na Fujifilm, temos agora o suporte de uma equipa profissional coesa, experiente e altamente profissional para ajudar-nos a tirar o máximo proveito da situação.”</w:t>
      </w:r>
    </w:p>
    <w:p w14:paraId="12713559" w14:textId="77777777" w:rsidR="00A9300D" w:rsidRPr="00A9300D" w:rsidRDefault="00A9300D" w:rsidP="00A9300D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Andy Kent, Diretor de Departamento, Fujifilm Graphic Communications UK, acrescenta: “Estamos muito satisfeitos por trabalhar com a EA Printing - são uma pequena empresa com enormes ambições, e é com grande orgulho que os ajudamos a desenvolver a oferta de serviços e o seu negócio.”</w:t>
      </w:r>
    </w:p>
    <w:p w14:paraId="3AB793A5" w14:textId="77777777" w:rsidR="00704616" w:rsidRDefault="00704616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46C3247D" w14:textId="22F5FF58" w:rsidR="00A9300D" w:rsidRDefault="00A9300D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 w:rsidRPr="00A9300D">
        <w:rPr>
          <w:rFonts w:ascii="Arial" w:hAnsi="Arial" w:cs="Arial"/>
          <w:lang w:eastAsia="ja-JP"/>
        </w:rPr>
        <w:t>Para saber mais sobre a Revoria Press PC1120:</w:t>
      </w:r>
      <w:r>
        <w:rPr>
          <w:rFonts w:ascii="Arial" w:hAnsi="Arial" w:cs="Arial"/>
          <w:lang w:eastAsia="ja-JP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eastAsia="ja-JP"/>
          </w:rPr>
          <w:t>https://fujifilmprint.eu/pt-pt/product/revoria-press-pc1120/</w:t>
        </w:r>
      </w:hyperlink>
      <w:r>
        <w:rPr>
          <w:rFonts w:ascii="Arial" w:hAnsi="Arial" w:cs="Arial"/>
          <w:lang w:eastAsia="ja-JP"/>
        </w:rPr>
        <w:t xml:space="preserve"> </w:t>
      </w:r>
    </w:p>
    <w:p w14:paraId="364EED85" w14:textId="77777777" w:rsidR="00A9300D" w:rsidRDefault="00A9300D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71540B78" w14:textId="77777777" w:rsidR="00A9300D" w:rsidRPr="0007525F" w:rsidRDefault="00A9300D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6AA36E4B" w14:textId="77777777" w:rsidR="00A9300D" w:rsidRDefault="00A9300D" w:rsidP="00A930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ACB3420" w14:textId="77777777" w:rsidR="00A9300D" w:rsidRDefault="00A9300D" w:rsidP="00A930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09B734A" w14:textId="77777777" w:rsidR="00A9300D" w:rsidRDefault="00A9300D" w:rsidP="00A930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41DC3A" w14:textId="77777777" w:rsidR="00A9300D" w:rsidRDefault="00A9300D" w:rsidP="00A930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6A2922E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lastRenderedPageBreak/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5CEE6AD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D74325E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DBD30D8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E078922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224E62D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C9EF389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8F1A889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9DB717A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29D29C5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25812E0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7D910F0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D6BB7CF" w14:textId="77777777" w:rsidR="00A9300D" w:rsidRDefault="00A9300D" w:rsidP="00A930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FAA9EB" w14:textId="77777777" w:rsidR="003836D1" w:rsidRPr="0007525F" w:rsidRDefault="003836D1" w:rsidP="00A9300D">
      <w:pPr>
        <w:spacing w:line="360" w:lineRule="auto"/>
        <w:jc w:val="center"/>
      </w:pPr>
    </w:p>
    <w:sectPr w:rsidR="003836D1" w:rsidRPr="0007525F" w:rsidSect="00B91B3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05B" w14:textId="77777777" w:rsidR="00133B99" w:rsidRDefault="00133B99">
      <w:pPr>
        <w:spacing w:after="0" w:line="240" w:lineRule="auto"/>
      </w:pPr>
      <w:r>
        <w:separator/>
      </w:r>
    </w:p>
  </w:endnote>
  <w:endnote w:type="continuationSeparator" w:id="0">
    <w:p w14:paraId="15691DE0" w14:textId="77777777" w:rsidR="00133B99" w:rsidRDefault="0013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E6E" w14:textId="77777777" w:rsidR="00133B99" w:rsidRDefault="00133B99">
      <w:pPr>
        <w:spacing w:after="0" w:line="240" w:lineRule="auto"/>
      </w:pPr>
      <w:r>
        <w:separator/>
      </w:r>
    </w:p>
  </w:footnote>
  <w:footnote w:type="continuationSeparator" w:id="0">
    <w:p w14:paraId="01B7E0DA" w14:textId="77777777" w:rsidR="00133B99" w:rsidRDefault="0013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1C250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31C06"/>
    <w:rsid w:val="00032473"/>
    <w:rsid w:val="00061229"/>
    <w:rsid w:val="0007525F"/>
    <w:rsid w:val="00082789"/>
    <w:rsid w:val="00092D77"/>
    <w:rsid w:val="000937E3"/>
    <w:rsid w:val="000A4FFA"/>
    <w:rsid w:val="000E72D6"/>
    <w:rsid w:val="00125629"/>
    <w:rsid w:val="00130D99"/>
    <w:rsid w:val="00133B99"/>
    <w:rsid w:val="00143F1C"/>
    <w:rsid w:val="00150C92"/>
    <w:rsid w:val="00163F13"/>
    <w:rsid w:val="00171D8D"/>
    <w:rsid w:val="00180099"/>
    <w:rsid w:val="0019276D"/>
    <w:rsid w:val="00193D26"/>
    <w:rsid w:val="001A12A6"/>
    <w:rsid w:val="001A3783"/>
    <w:rsid w:val="001B0FDA"/>
    <w:rsid w:val="001B7A76"/>
    <w:rsid w:val="001C19B7"/>
    <w:rsid w:val="001E043D"/>
    <w:rsid w:val="001F7F1C"/>
    <w:rsid w:val="0020161A"/>
    <w:rsid w:val="00221B26"/>
    <w:rsid w:val="002237A4"/>
    <w:rsid w:val="00246027"/>
    <w:rsid w:val="002473DB"/>
    <w:rsid w:val="002952E0"/>
    <w:rsid w:val="00297F86"/>
    <w:rsid w:val="002A2649"/>
    <w:rsid w:val="002A322E"/>
    <w:rsid w:val="002C0A57"/>
    <w:rsid w:val="002D2894"/>
    <w:rsid w:val="002E342D"/>
    <w:rsid w:val="002F6015"/>
    <w:rsid w:val="002F6561"/>
    <w:rsid w:val="002F6E66"/>
    <w:rsid w:val="0031625B"/>
    <w:rsid w:val="00323F1D"/>
    <w:rsid w:val="003246BF"/>
    <w:rsid w:val="00334126"/>
    <w:rsid w:val="00334407"/>
    <w:rsid w:val="0033617D"/>
    <w:rsid w:val="003410E9"/>
    <w:rsid w:val="003601F9"/>
    <w:rsid w:val="003605D9"/>
    <w:rsid w:val="00364A7D"/>
    <w:rsid w:val="003665EC"/>
    <w:rsid w:val="00374297"/>
    <w:rsid w:val="003836D1"/>
    <w:rsid w:val="00396045"/>
    <w:rsid w:val="003B777E"/>
    <w:rsid w:val="003D1580"/>
    <w:rsid w:val="003D6E6C"/>
    <w:rsid w:val="003F2106"/>
    <w:rsid w:val="003F375C"/>
    <w:rsid w:val="0040414D"/>
    <w:rsid w:val="004103F3"/>
    <w:rsid w:val="00413444"/>
    <w:rsid w:val="00432B3B"/>
    <w:rsid w:val="004354BF"/>
    <w:rsid w:val="004403A0"/>
    <w:rsid w:val="00446F7A"/>
    <w:rsid w:val="00447D66"/>
    <w:rsid w:val="0045026E"/>
    <w:rsid w:val="0047287E"/>
    <w:rsid w:val="00483ED9"/>
    <w:rsid w:val="0048509F"/>
    <w:rsid w:val="00494295"/>
    <w:rsid w:val="004C65EE"/>
    <w:rsid w:val="004E3921"/>
    <w:rsid w:val="00522B9A"/>
    <w:rsid w:val="00537153"/>
    <w:rsid w:val="0054550D"/>
    <w:rsid w:val="00546DF9"/>
    <w:rsid w:val="0055761D"/>
    <w:rsid w:val="00575DF4"/>
    <w:rsid w:val="00577712"/>
    <w:rsid w:val="00584E52"/>
    <w:rsid w:val="005920C0"/>
    <w:rsid w:val="005A2FAC"/>
    <w:rsid w:val="005B1823"/>
    <w:rsid w:val="005B25F9"/>
    <w:rsid w:val="005C13DC"/>
    <w:rsid w:val="005C47B5"/>
    <w:rsid w:val="005C57DD"/>
    <w:rsid w:val="005D441F"/>
    <w:rsid w:val="005E4EA7"/>
    <w:rsid w:val="006048B2"/>
    <w:rsid w:val="00625729"/>
    <w:rsid w:val="00626030"/>
    <w:rsid w:val="00640155"/>
    <w:rsid w:val="006532F0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12567"/>
    <w:rsid w:val="00713E2C"/>
    <w:rsid w:val="007241D3"/>
    <w:rsid w:val="0073428F"/>
    <w:rsid w:val="00735B45"/>
    <w:rsid w:val="00752123"/>
    <w:rsid w:val="00777610"/>
    <w:rsid w:val="007A7A42"/>
    <w:rsid w:val="007B701A"/>
    <w:rsid w:val="007B72CA"/>
    <w:rsid w:val="007E25AB"/>
    <w:rsid w:val="00802EF4"/>
    <w:rsid w:val="0080530D"/>
    <w:rsid w:val="00821C92"/>
    <w:rsid w:val="00835FAD"/>
    <w:rsid w:val="0084681E"/>
    <w:rsid w:val="0085059A"/>
    <w:rsid w:val="00851F1E"/>
    <w:rsid w:val="00863565"/>
    <w:rsid w:val="008721F6"/>
    <w:rsid w:val="00881463"/>
    <w:rsid w:val="00882A5D"/>
    <w:rsid w:val="00890C6C"/>
    <w:rsid w:val="008B6998"/>
    <w:rsid w:val="008D14CB"/>
    <w:rsid w:val="008D2033"/>
    <w:rsid w:val="009158F1"/>
    <w:rsid w:val="00952C2A"/>
    <w:rsid w:val="00955289"/>
    <w:rsid w:val="00970B79"/>
    <w:rsid w:val="00981F1A"/>
    <w:rsid w:val="00983060"/>
    <w:rsid w:val="00995487"/>
    <w:rsid w:val="00995F5E"/>
    <w:rsid w:val="009A32E5"/>
    <w:rsid w:val="009D1147"/>
    <w:rsid w:val="009E45EE"/>
    <w:rsid w:val="009E5998"/>
    <w:rsid w:val="009E699D"/>
    <w:rsid w:val="009F3A18"/>
    <w:rsid w:val="00A042CE"/>
    <w:rsid w:val="00A07751"/>
    <w:rsid w:val="00A1306E"/>
    <w:rsid w:val="00A37EE9"/>
    <w:rsid w:val="00A617A1"/>
    <w:rsid w:val="00A73CDF"/>
    <w:rsid w:val="00A76B29"/>
    <w:rsid w:val="00A7782C"/>
    <w:rsid w:val="00A84D08"/>
    <w:rsid w:val="00A92ABC"/>
    <w:rsid w:val="00A9300D"/>
    <w:rsid w:val="00AC3F1E"/>
    <w:rsid w:val="00AD0ACA"/>
    <w:rsid w:val="00AE033B"/>
    <w:rsid w:val="00AF0F65"/>
    <w:rsid w:val="00AF20AB"/>
    <w:rsid w:val="00B02AA7"/>
    <w:rsid w:val="00B160E6"/>
    <w:rsid w:val="00B62B19"/>
    <w:rsid w:val="00B638FD"/>
    <w:rsid w:val="00B91B34"/>
    <w:rsid w:val="00B949B4"/>
    <w:rsid w:val="00BA0BED"/>
    <w:rsid w:val="00BA577A"/>
    <w:rsid w:val="00BB6CD2"/>
    <w:rsid w:val="00BD279F"/>
    <w:rsid w:val="00BE3312"/>
    <w:rsid w:val="00BE6D00"/>
    <w:rsid w:val="00C0040E"/>
    <w:rsid w:val="00C06E6C"/>
    <w:rsid w:val="00C110A6"/>
    <w:rsid w:val="00C11659"/>
    <w:rsid w:val="00C3050A"/>
    <w:rsid w:val="00C3183C"/>
    <w:rsid w:val="00C31E64"/>
    <w:rsid w:val="00C3713A"/>
    <w:rsid w:val="00C5482A"/>
    <w:rsid w:val="00C621D1"/>
    <w:rsid w:val="00C70BE3"/>
    <w:rsid w:val="00CC5954"/>
    <w:rsid w:val="00CD6D16"/>
    <w:rsid w:val="00CE3246"/>
    <w:rsid w:val="00CE3C67"/>
    <w:rsid w:val="00CF145B"/>
    <w:rsid w:val="00CF14BC"/>
    <w:rsid w:val="00CF5CA6"/>
    <w:rsid w:val="00D04C7F"/>
    <w:rsid w:val="00D24ADE"/>
    <w:rsid w:val="00D261BB"/>
    <w:rsid w:val="00D26917"/>
    <w:rsid w:val="00D30BF5"/>
    <w:rsid w:val="00D360E9"/>
    <w:rsid w:val="00D471AC"/>
    <w:rsid w:val="00D6522D"/>
    <w:rsid w:val="00DA0B89"/>
    <w:rsid w:val="00DA726F"/>
    <w:rsid w:val="00DB2920"/>
    <w:rsid w:val="00DC456A"/>
    <w:rsid w:val="00DC5D42"/>
    <w:rsid w:val="00DF0F09"/>
    <w:rsid w:val="00DF10D0"/>
    <w:rsid w:val="00E0008F"/>
    <w:rsid w:val="00E00484"/>
    <w:rsid w:val="00E34038"/>
    <w:rsid w:val="00E34B28"/>
    <w:rsid w:val="00E5267C"/>
    <w:rsid w:val="00E82DB1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1DAC"/>
    <w:rsid w:val="00F06079"/>
    <w:rsid w:val="00F062A1"/>
    <w:rsid w:val="00F1176E"/>
    <w:rsid w:val="00F12144"/>
    <w:rsid w:val="00F123A4"/>
    <w:rsid w:val="00F154F4"/>
    <w:rsid w:val="00F232A4"/>
    <w:rsid w:val="00F444DA"/>
    <w:rsid w:val="00F54167"/>
    <w:rsid w:val="00F73D47"/>
    <w:rsid w:val="00FA230A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9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300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A9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t-pt/product/revoria-press-pc1120/?utm_source=referral&amp;utm_medium=pr&amp;utm_campaign=Revoria%20PC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A019E-CBA9-44F3-87DA-B5D63FDC3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2024-06-18T14:10:00Z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