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4BF5A" w14:textId="77777777" w:rsidR="0049670C" w:rsidRDefault="00624800">
      <w:pPr>
        <w:pStyle w:val="TextA"/>
        <w:rPr>
          <w:u w:color="FF0000"/>
        </w:rPr>
      </w:pPr>
      <w:r>
        <w:rPr>
          <w:rFonts w:ascii="Arial" w:hAnsi="Arial"/>
          <w:b/>
          <w:bCs/>
          <w:sz w:val="28"/>
          <w:szCs w:val="28"/>
          <w:u w:color="FF0000"/>
        </w:rPr>
        <w:t xml:space="preserve">Gelungene Premiere: Die </w:t>
      </w:r>
      <w:proofErr w:type="spellStart"/>
      <w:r>
        <w:rPr>
          <w:rFonts w:ascii="Arial" w:hAnsi="Arial"/>
          <w:b/>
          <w:bCs/>
          <w:sz w:val="28"/>
          <w:szCs w:val="28"/>
          <w:u w:color="FF0000"/>
        </w:rPr>
        <w:t>TrueColors</w:t>
      </w:r>
      <w:proofErr w:type="spellEnd"/>
      <w:r>
        <w:rPr>
          <w:rFonts w:ascii="Arial" w:hAnsi="Arial"/>
          <w:b/>
          <w:bCs/>
          <w:sz w:val="28"/>
          <w:szCs w:val="28"/>
          <w:u w:color="FF0000"/>
        </w:rPr>
        <w:t xml:space="preserve"> Conference begeisterte mit </w:t>
      </w:r>
      <w:proofErr w:type="spellStart"/>
      <w:r>
        <w:rPr>
          <w:rFonts w:ascii="Arial" w:hAnsi="Arial"/>
          <w:b/>
          <w:bCs/>
          <w:sz w:val="28"/>
          <w:szCs w:val="28"/>
          <w:u w:color="FF0000"/>
        </w:rPr>
        <w:t>Packaging</w:t>
      </w:r>
      <w:proofErr w:type="spellEnd"/>
      <w:r>
        <w:rPr>
          <w:rFonts w:ascii="Arial" w:hAnsi="Arial"/>
          <w:b/>
          <w:bCs/>
          <w:sz w:val="28"/>
          <w:szCs w:val="28"/>
          <w:u w:color="FF0000"/>
        </w:rPr>
        <w:t xml:space="preserve">-Know-how, Networking und Ambiente </w:t>
      </w:r>
    </w:p>
    <w:p w14:paraId="064DD051" w14:textId="60D2F6AC" w:rsidR="0049670C" w:rsidRDefault="000917CC">
      <w:pPr>
        <w:pStyle w:val="TextB"/>
        <w:rPr>
          <w:sz w:val="20"/>
          <w:szCs w:val="20"/>
          <w:u w:color="FF0000"/>
        </w:rPr>
      </w:pPr>
      <w:r w:rsidRPr="00A94EB6">
        <w:rPr>
          <w:b/>
          <w:bCs/>
          <w:sz w:val="20"/>
          <w:szCs w:val="20"/>
          <w:u w:color="FF0000"/>
        </w:rPr>
        <w:t>Tübingen, Deutschland (</w:t>
      </w:r>
      <w:r>
        <w:rPr>
          <w:b/>
          <w:bCs/>
          <w:sz w:val="20"/>
          <w:szCs w:val="20"/>
          <w:u w:color="FF0000"/>
        </w:rPr>
        <w:t>08</w:t>
      </w:r>
      <w:r w:rsidRPr="00A94EB6">
        <w:rPr>
          <w:b/>
          <w:bCs/>
          <w:sz w:val="20"/>
          <w:szCs w:val="20"/>
          <w:u w:color="FF0000"/>
        </w:rPr>
        <w:t>.</w:t>
      </w:r>
      <w:r>
        <w:rPr>
          <w:b/>
          <w:bCs/>
          <w:sz w:val="20"/>
          <w:szCs w:val="20"/>
          <w:u w:color="FF0000"/>
        </w:rPr>
        <w:t>10</w:t>
      </w:r>
      <w:r w:rsidRPr="00A94EB6">
        <w:rPr>
          <w:b/>
          <w:bCs/>
          <w:sz w:val="20"/>
          <w:szCs w:val="20"/>
          <w:u w:color="FF0000"/>
        </w:rPr>
        <w:t>.2024)</w:t>
      </w:r>
      <w:r w:rsidRPr="000917CC">
        <w:rPr>
          <w:sz w:val="20"/>
          <w:szCs w:val="20"/>
          <w:u w:color="FF0000"/>
        </w:rPr>
        <w:t xml:space="preserve"> – </w:t>
      </w:r>
      <w:r w:rsidR="00624800">
        <w:rPr>
          <w:sz w:val="20"/>
          <w:szCs w:val="20"/>
          <w:u w:color="FF0000"/>
        </w:rPr>
        <w:t xml:space="preserve">Als Initiator dieses neuen Veranstaltungsformats wagte GMG den Sprung ins kalte Wasser. Entsprechend erfrischend fühlte sich die erste </w:t>
      </w:r>
      <w:proofErr w:type="spellStart"/>
      <w:r w:rsidR="00624800">
        <w:rPr>
          <w:sz w:val="20"/>
          <w:szCs w:val="20"/>
          <w:u w:color="FF0000"/>
        </w:rPr>
        <w:t>TrueColors</w:t>
      </w:r>
      <w:proofErr w:type="spellEnd"/>
      <w:r w:rsidR="00624800">
        <w:rPr>
          <w:sz w:val="20"/>
          <w:szCs w:val="20"/>
          <w:u w:color="FF0000"/>
        </w:rPr>
        <w:t xml:space="preserve"> Conference dann auch an. In den exklusiven Räumen des Literaturhauses – hoch über den Dächern Münchens – trafen sich </w:t>
      </w:r>
      <w:proofErr w:type="spellStart"/>
      <w:r w:rsidR="00624800">
        <w:rPr>
          <w:sz w:val="20"/>
          <w:szCs w:val="20"/>
          <w:u w:color="FF0000"/>
        </w:rPr>
        <w:t>Packaging</w:t>
      </w:r>
      <w:proofErr w:type="spellEnd"/>
      <w:r w:rsidR="00624800">
        <w:rPr>
          <w:sz w:val="20"/>
          <w:szCs w:val="20"/>
          <w:u w:color="FF0000"/>
        </w:rPr>
        <w:t xml:space="preserve">- und </w:t>
      </w:r>
      <w:proofErr w:type="spellStart"/>
      <w:r w:rsidR="00624800">
        <w:rPr>
          <w:sz w:val="20"/>
          <w:szCs w:val="20"/>
          <w:u w:color="FF0000"/>
        </w:rPr>
        <w:t>Premedia</w:t>
      </w:r>
      <w:proofErr w:type="spellEnd"/>
      <w:r w:rsidR="00624800">
        <w:rPr>
          <w:sz w:val="20"/>
          <w:szCs w:val="20"/>
          <w:u w:color="FF0000"/>
        </w:rPr>
        <w:t xml:space="preserve">-Profis, um sich über die Zukunft der Verpackung auszutauschen. „Unboxing </w:t>
      </w:r>
      <w:proofErr w:type="spellStart"/>
      <w:r w:rsidR="00624800">
        <w:rPr>
          <w:sz w:val="20"/>
          <w:szCs w:val="20"/>
          <w:u w:color="FF0000"/>
        </w:rPr>
        <w:t>tomorrow</w:t>
      </w:r>
      <w:proofErr w:type="spellEnd"/>
      <w:r w:rsidR="00624800">
        <w:rPr>
          <w:sz w:val="20"/>
          <w:szCs w:val="20"/>
          <w:u w:color="FF0000"/>
        </w:rPr>
        <w:t xml:space="preserve">“ – das Motto der Veranstaltung brachte es auf den Punkt. </w:t>
      </w:r>
    </w:p>
    <w:p w14:paraId="723D6733" w14:textId="77777777" w:rsidR="0049670C" w:rsidRDefault="00624800">
      <w:pPr>
        <w:pStyle w:val="TextB"/>
        <w:rPr>
          <w:sz w:val="20"/>
          <w:szCs w:val="20"/>
          <w:u w:color="FF0000"/>
        </w:rPr>
      </w:pPr>
      <w:r>
        <w:rPr>
          <w:sz w:val="20"/>
          <w:szCs w:val="20"/>
          <w:u w:color="FF0000"/>
        </w:rPr>
        <w:t xml:space="preserve">Drei Keynotes, neun </w:t>
      </w:r>
      <w:proofErr w:type="spellStart"/>
      <w:r>
        <w:rPr>
          <w:sz w:val="20"/>
          <w:szCs w:val="20"/>
          <w:u w:color="FF0000"/>
        </w:rPr>
        <w:t>Breakout</w:t>
      </w:r>
      <w:proofErr w:type="spellEnd"/>
      <w:r>
        <w:rPr>
          <w:sz w:val="20"/>
          <w:szCs w:val="20"/>
          <w:u w:color="FF0000"/>
        </w:rPr>
        <w:t xml:space="preserve"> Sessions, zahlreiche fachliche und noch mehr persönliche Anknüpfungspunkte – ein volles Programm, das auf ganzer Linie begeisterte. Gesetzliche Rahmenbedingungen, inspirierende Praxisbeispiele, visionäre Perspektiven: Die erste </w:t>
      </w:r>
      <w:proofErr w:type="spellStart"/>
      <w:r>
        <w:rPr>
          <w:sz w:val="20"/>
          <w:szCs w:val="20"/>
          <w:u w:color="FF0000"/>
        </w:rPr>
        <w:t>TrueColors</w:t>
      </w:r>
      <w:proofErr w:type="spellEnd"/>
      <w:r>
        <w:rPr>
          <w:sz w:val="20"/>
          <w:szCs w:val="20"/>
          <w:u w:color="FF0000"/>
        </w:rPr>
        <w:t xml:space="preserve"> Conference bot spannende Blicke weit über den eigenen Tellerrand hinaus. </w:t>
      </w:r>
    </w:p>
    <w:p w14:paraId="38ACFD13" w14:textId="77777777" w:rsidR="0049670C" w:rsidRDefault="00624800">
      <w:pPr>
        <w:pStyle w:val="TextB"/>
        <w:rPr>
          <w:rFonts w:ascii="Arial" w:eastAsia="Arial" w:hAnsi="Arial" w:cs="Arial"/>
          <w:b/>
          <w:bCs/>
          <w:sz w:val="20"/>
          <w:szCs w:val="20"/>
          <w:u w:color="222222"/>
        </w:rPr>
      </w:pPr>
      <w:r>
        <w:rPr>
          <w:sz w:val="20"/>
          <w:szCs w:val="20"/>
          <w:u w:color="FF0000"/>
        </w:rPr>
        <w:t xml:space="preserve">Einige Stimmen zur Konferenz wurden im Video festgehalten, </w:t>
      </w:r>
      <w:r>
        <w:rPr>
          <w:sz w:val="20"/>
          <w:szCs w:val="20"/>
          <w:u w:color="FF0000"/>
        </w:rPr>
        <w:br/>
        <w:t xml:space="preserve">das unter www.truecolorsconference.com abrufbar ist. </w:t>
      </w:r>
      <w:r>
        <w:rPr>
          <w:sz w:val="20"/>
          <w:szCs w:val="20"/>
          <w:u w:color="FF0000"/>
        </w:rPr>
        <w:br/>
        <w:t>Weitere Informationen über GMG finden Sie unter www.gmgcolor.com</w:t>
      </w:r>
    </w:p>
    <w:p w14:paraId="5F758AF5" w14:textId="77777777" w:rsidR="0049670C" w:rsidRDefault="0049670C">
      <w:pPr>
        <w:pStyle w:val="TextC"/>
        <w:spacing w:after="240" w:line="280" w:lineRule="exact"/>
        <w:jc w:val="both"/>
        <w:rPr>
          <w:rStyle w:val="OhneA"/>
          <w:sz w:val="20"/>
          <w:szCs w:val="20"/>
        </w:rPr>
      </w:pPr>
    </w:p>
    <w:p w14:paraId="3B60B6AA" w14:textId="77777777" w:rsidR="0049670C" w:rsidRDefault="00624800">
      <w:pPr>
        <w:pStyle w:val="TextC"/>
        <w:jc w:val="center"/>
        <w:rPr>
          <w:sz w:val="18"/>
          <w:szCs w:val="18"/>
        </w:rPr>
      </w:pPr>
      <w:r>
        <w:rPr>
          <w:b/>
          <w:bCs/>
          <w:u w:color="FF0000"/>
        </w:rPr>
        <w:t>Ende</w:t>
      </w:r>
    </w:p>
    <w:p w14:paraId="084C738C" w14:textId="77777777" w:rsidR="0049670C" w:rsidRDefault="0049670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0" w:line="240" w:lineRule="auto"/>
        <w:rPr>
          <w:b/>
          <w:bCs/>
          <w:color w:val="FF0000"/>
          <w:sz w:val="20"/>
          <w:szCs w:val="20"/>
          <w:u w:color="FF0000"/>
        </w:rPr>
      </w:pPr>
    </w:p>
    <w:p w14:paraId="77F988E3" w14:textId="77777777" w:rsidR="0049670C" w:rsidRDefault="00624800">
      <w:pPr>
        <w:pStyle w:val="NoSpacing"/>
      </w:pPr>
      <w:r>
        <w:rPr>
          <w:rFonts w:eastAsia="Arial Unicode MS" w:cs="Arial Unicode MS"/>
          <w:b/>
          <w:bCs/>
        </w:rPr>
        <w:t>Über GMG:</w:t>
      </w:r>
      <w:r>
        <w:rPr>
          <w:rStyle w:val="OhneA"/>
          <w:rFonts w:eastAsia="Arial Unicode MS" w:cs="Arial Unicode MS"/>
        </w:rPr>
        <w:t xml:space="preserve"> GMG ist der führende Entwickler von High-End-Farbmanagement-Lösungen. Das Unternehmen wurde 1984 in Tübingen, Deutschland, gegründet, wo sich auch heute noch der Hauptsitz befindet. Mit 40 Jahren Erfahrung im Farbmanagement ist GMG ein Branchenpionier, der buchstäblich die Standards in diesem Segment setzt. Das Hauptaugenmerk von GMG liegt auf der Entwicklung von Komplettlösungen zur Standardisierung von Farbmanagement-Workflows für verschiedene Druckverfahren und für unterschiedliche Substrate. GMG ist mit über 12.000 installierten Farbmanagement-Systemen auf der ganzen Welt zu Hause. Zu den Kunden des Unternehmens zählen unter anderem Kreativagenturen, </w:t>
      </w:r>
      <w:proofErr w:type="spellStart"/>
      <w:r>
        <w:rPr>
          <w:rStyle w:val="OhneA"/>
          <w:rFonts w:eastAsia="Arial Unicode MS" w:cs="Arial Unicode MS"/>
        </w:rPr>
        <w:t>Prepressunternehmen</w:t>
      </w:r>
      <w:proofErr w:type="spellEnd"/>
      <w:r>
        <w:rPr>
          <w:rStyle w:val="OhneA"/>
          <w:rFonts w:eastAsia="Arial Unicode MS" w:cs="Arial Unicode MS"/>
        </w:rPr>
        <w:t>, Offset-, Flexo-, Verpackungs-, Digital-, Tiefdruck- und Großformatdruckereien. GMG ist sowohl mit eigenen Tochtergesellschaften als auch über ein breites Partnernetzwerk global vertreten.</w:t>
      </w:r>
    </w:p>
    <w:p w14:paraId="3B057429" w14:textId="77777777" w:rsidR="0049670C" w:rsidRDefault="0049670C">
      <w:pPr>
        <w:pStyle w:val="NoSpacing"/>
      </w:pPr>
    </w:p>
    <w:p w14:paraId="5B4620EF" w14:textId="77777777" w:rsidR="0049670C" w:rsidRPr="00EA0B84" w:rsidRDefault="0049670C">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18"/>
          <w:szCs w:val="18"/>
        </w:rPr>
      </w:pPr>
    </w:p>
    <w:p w14:paraId="2C6A5B13" w14:textId="77777777" w:rsidR="0049670C" w:rsidRPr="00EA0B84" w:rsidRDefault="0049670C">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18"/>
          <w:szCs w:val="18"/>
        </w:rPr>
      </w:pPr>
    </w:p>
    <w:p w14:paraId="0734B11C" w14:textId="77777777" w:rsidR="0049670C" w:rsidRDefault="0049670C">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B7B4469" w14:textId="77777777" w:rsidR="0049670C" w:rsidRDefault="00624800">
      <w:pPr>
        <w:pStyle w:val="TextC"/>
        <w:jc w:val="both"/>
        <w:rPr>
          <w:sz w:val="18"/>
          <w:szCs w:val="18"/>
        </w:rPr>
      </w:pPr>
      <w:r>
        <w:rPr>
          <w:rStyle w:val="OhneA"/>
          <w:noProof/>
        </w:rPr>
        <w:drawing>
          <wp:inline distT="0" distB="0" distL="0" distR="0" wp14:anchorId="17804D15" wp14:editId="3019D793">
            <wp:extent cx="3124200" cy="1491808"/>
            <wp:effectExtent l="0" t="0" r="0" b="0"/>
            <wp:docPr id="1073741826" name="officeArt object" descr="new_wherever_2016_RGB_400px_96dpi.jpg"/>
            <wp:cNvGraphicFramePr/>
            <a:graphic xmlns:a="http://schemas.openxmlformats.org/drawingml/2006/main">
              <a:graphicData uri="http://schemas.openxmlformats.org/drawingml/2006/picture">
                <pic:pic xmlns:pic="http://schemas.openxmlformats.org/drawingml/2006/picture">
                  <pic:nvPicPr>
                    <pic:cNvPr id="1073741826" name="new_wherever_2016_RGB_400px_96dpi.jpg" descr="new_wherever_2016_RGB_400px_96dpi.jpg"/>
                    <pic:cNvPicPr>
                      <a:picLocks noChangeAspect="1"/>
                    </pic:cNvPicPr>
                  </pic:nvPicPr>
                  <pic:blipFill>
                    <a:blip r:embed="rId6"/>
                    <a:stretch>
                      <a:fillRect/>
                    </a:stretch>
                  </pic:blipFill>
                  <pic:spPr>
                    <a:xfrm>
                      <a:off x="0" y="0"/>
                      <a:ext cx="3124200" cy="1491808"/>
                    </a:xfrm>
                    <a:prstGeom prst="rect">
                      <a:avLst/>
                    </a:prstGeom>
                    <a:ln w="12700" cap="flat">
                      <a:noFill/>
                      <a:miter lim="400000"/>
                    </a:ln>
                    <a:effectLst/>
                  </pic:spPr>
                </pic:pic>
              </a:graphicData>
            </a:graphic>
          </wp:inline>
        </w:drawing>
      </w:r>
    </w:p>
    <w:p w14:paraId="06AEBAA8" w14:textId="77777777" w:rsidR="00EA0B84" w:rsidRDefault="00EA0B84" w:rsidP="00EA0B84">
      <w:pPr>
        <w:pStyle w:val="NoSpacing"/>
      </w:pPr>
      <w:r>
        <w:rPr>
          <w:rStyle w:val="OhneA"/>
          <w:rFonts w:eastAsia="Arial Unicode MS" w:cs="Arial Unicode MS"/>
        </w:rPr>
        <w:lastRenderedPageBreak/>
        <w:t xml:space="preserve">© </w:t>
      </w:r>
      <w:r>
        <w:rPr>
          <w:rFonts w:eastAsia="Arial Unicode MS" w:cs="Arial Unicode MS"/>
          <w:b/>
          <w:bCs/>
        </w:rPr>
        <w:t>2024 GMG GmbH &amp; Co. KG.</w:t>
      </w:r>
      <w:r>
        <w:rPr>
          <w:rStyle w:val="OhneA"/>
          <w:rFonts w:eastAsia="Arial Unicode MS" w:cs="Arial Unicode MS"/>
        </w:rPr>
        <w:t xml:space="preserve"> GMG, das GMG Logo und bestimmte Produktbezeichnungen sind eingetragene Warenzeichen der GMG GmbH &amp; Co. KG. Alle anderen Bezeichnungen und genannten Produkte sind eingetragene Warenzeichen der jeweiligen Firmen. GMG behält sich das Recht vor, jederzeit Änderungen technischer oder anderer Art vorzunehmen.</w:t>
      </w:r>
    </w:p>
    <w:p w14:paraId="783B64F1" w14:textId="77777777" w:rsidR="00EA0B84" w:rsidRDefault="00EA0B84" w:rsidP="00EA0B84">
      <w:pPr>
        <w:pStyle w:val="TextC"/>
        <w:jc w:val="both"/>
        <w:rPr>
          <w:rStyle w:val="Ohne"/>
        </w:rPr>
      </w:pPr>
      <w:r>
        <w:rPr>
          <w:sz w:val="18"/>
          <w:szCs w:val="18"/>
          <w:u w:color="FF0000"/>
        </w:rPr>
        <w:t xml:space="preserve">Für weitere Informationen besuchen Sie bitte </w:t>
      </w:r>
      <w:hyperlink r:id="rId7" w:history="1">
        <w:r>
          <w:rPr>
            <w:rStyle w:val="Hyperlink0"/>
          </w:rPr>
          <w:t>www.gmgcolor.com</w:t>
        </w:r>
      </w:hyperlink>
      <w:r>
        <w:rPr>
          <w:rStyle w:val="Ohne"/>
        </w:rPr>
        <w:t xml:space="preserve">, </w:t>
      </w:r>
      <w:hyperlink r:id="rId8" w:history="1">
        <w:r>
          <w:rPr>
            <w:rStyle w:val="Hyperlink0"/>
          </w:rPr>
          <w:t>www.facebook.com/gmgcolor.en</w:t>
        </w:r>
      </w:hyperlink>
      <w:r>
        <w:rPr>
          <w:rStyle w:val="Ohne"/>
        </w:rPr>
        <w:t xml:space="preserve">, </w:t>
      </w:r>
      <w:hyperlink r:id="rId9" w:history="1">
        <w:r w:rsidRPr="00433A22">
          <w:rPr>
            <w:rStyle w:val="Hyperlink"/>
            <w:sz w:val="18"/>
            <w:szCs w:val="18"/>
          </w:rPr>
          <w:t>http://x.com/gmgcolor</w:t>
        </w:r>
      </w:hyperlink>
      <w:r>
        <w:rPr>
          <w:rStyle w:val="Ohne"/>
        </w:rPr>
        <w:t xml:space="preserve">, </w:t>
      </w:r>
      <w:hyperlink r:id="rId10" w:history="1">
        <w:r w:rsidRPr="00833DD2">
          <w:rPr>
            <w:rStyle w:val="Hyperlink1"/>
          </w:rPr>
          <w:t>www.linkedin.com/company/gmg</w:t>
        </w:r>
      </w:hyperlink>
    </w:p>
    <w:p w14:paraId="639F28E5" w14:textId="77777777" w:rsidR="0049670C" w:rsidRDefault="0049670C">
      <w:pPr>
        <w:pStyle w:val="TextC"/>
        <w:jc w:val="both"/>
        <w:rPr>
          <w:rStyle w:val="Ohne"/>
          <w:sz w:val="18"/>
          <w:szCs w:val="18"/>
          <w:u w:color="FF0000"/>
        </w:rPr>
      </w:pPr>
    </w:p>
    <w:p w14:paraId="6BF0D4BF" w14:textId="77777777" w:rsidR="0049670C" w:rsidRDefault="0049670C">
      <w:pPr>
        <w:pStyle w:val="TextC"/>
        <w:jc w:val="both"/>
        <w:rPr>
          <w:rStyle w:val="Ohne"/>
          <w:sz w:val="18"/>
          <w:szCs w:val="18"/>
          <w:u w:color="FF0000"/>
        </w:rPr>
      </w:pPr>
    </w:p>
    <w:p w14:paraId="111E9162" w14:textId="77777777" w:rsidR="0049670C" w:rsidRDefault="00624800">
      <w:pPr>
        <w:pStyle w:val="NoSpacing"/>
        <w:rPr>
          <w:rStyle w:val="Ohne"/>
          <w:b/>
          <w:bCs/>
          <w:sz w:val="20"/>
          <w:szCs w:val="20"/>
        </w:rPr>
      </w:pPr>
      <w:r>
        <w:rPr>
          <w:rStyle w:val="Ohne"/>
          <w:rFonts w:eastAsia="Arial Unicode MS" w:cs="Arial Unicode MS"/>
          <w:b/>
          <w:bCs/>
          <w:sz w:val="20"/>
          <w:szCs w:val="20"/>
        </w:rPr>
        <w:t xml:space="preserve">Pressekontakt: </w:t>
      </w:r>
    </w:p>
    <w:p w14:paraId="5CBC28F4" w14:textId="77777777" w:rsidR="0049670C" w:rsidRDefault="0049670C">
      <w:pPr>
        <w:pStyle w:val="NoSpacing"/>
        <w:rPr>
          <w:rStyle w:val="OhneA"/>
          <w:sz w:val="20"/>
          <w:szCs w:val="20"/>
        </w:rPr>
      </w:pPr>
    </w:p>
    <w:p w14:paraId="397BF601" w14:textId="77777777" w:rsidR="0049670C" w:rsidRDefault="00624800">
      <w:pPr>
        <w:pStyle w:val="NoSpacing"/>
        <w:rPr>
          <w:rStyle w:val="Ohne"/>
          <w:sz w:val="20"/>
          <w:szCs w:val="20"/>
        </w:rPr>
      </w:pPr>
      <w:r>
        <w:rPr>
          <w:rStyle w:val="Ohne"/>
          <w:rFonts w:eastAsia="Arial Unicode MS" w:cs="Arial Unicode MS"/>
          <w:sz w:val="20"/>
          <w:szCs w:val="20"/>
        </w:rPr>
        <w:t>GMG GmbH &amp; Co. KG</w:t>
      </w:r>
    </w:p>
    <w:p w14:paraId="63994446" w14:textId="77777777" w:rsidR="0049670C" w:rsidRPr="00EA0B84" w:rsidRDefault="00624800">
      <w:pPr>
        <w:pStyle w:val="NoSpacing"/>
        <w:rPr>
          <w:rStyle w:val="Ohne"/>
          <w:sz w:val="20"/>
          <w:szCs w:val="20"/>
        </w:rPr>
      </w:pPr>
      <w:r w:rsidRPr="00EA0B84">
        <w:rPr>
          <w:rStyle w:val="Ohne"/>
          <w:sz w:val="20"/>
          <w:szCs w:val="20"/>
        </w:rPr>
        <w:t>Phone: +49 (0) 7071 938 74-0</w:t>
      </w:r>
    </w:p>
    <w:p w14:paraId="09DD2F50" w14:textId="77777777" w:rsidR="0049670C" w:rsidRPr="00EA0B84" w:rsidRDefault="00624800">
      <w:pPr>
        <w:pStyle w:val="NoSpacing"/>
        <w:rPr>
          <w:rStyle w:val="Hyperlink3"/>
        </w:rPr>
      </w:pPr>
      <w:proofErr w:type="spellStart"/>
      <w:r w:rsidRPr="00EA0B84">
        <w:rPr>
          <w:rStyle w:val="Ohne"/>
          <w:sz w:val="20"/>
          <w:szCs w:val="20"/>
        </w:rPr>
        <w:t>E-mail</w:t>
      </w:r>
      <w:proofErr w:type="spellEnd"/>
      <w:r w:rsidRPr="00EA0B84">
        <w:rPr>
          <w:rStyle w:val="Ohne"/>
          <w:sz w:val="20"/>
          <w:szCs w:val="20"/>
        </w:rPr>
        <w:t xml:space="preserve">: </w:t>
      </w:r>
      <w:hyperlink r:id="rId11" w:history="1">
        <w:r w:rsidRPr="00EA0B84">
          <w:rPr>
            <w:rStyle w:val="Hyperlink1"/>
          </w:rPr>
          <w:t>pr@gmgcolor.com</w:t>
        </w:r>
      </w:hyperlink>
    </w:p>
    <w:p w14:paraId="056CC989" w14:textId="77777777" w:rsidR="0049670C" w:rsidRPr="00EA0B84" w:rsidRDefault="0049670C">
      <w:pPr>
        <w:pStyle w:val="NoSpacing"/>
        <w:rPr>
          <w:rStyle w:val="Ohne"/>
          <w:color w:val="0000FF"/>
          <w:sz w:val="20"/>
          <w:szCs w:val="20"/>
          <w:u w:val="single" w:color="0000FF"/>
        </w:rPr>
      </w:pPr>
    </w:p>
    <w:p w14:paraId="397C4C76" w14:textId="77777777" w:rsidR="0049670C" w:rsidRDefault="00624800">
      <w:pPr>
        <w:pStyle w:val="NoSpacing"/>
        <w:rPr>
          <w:rStyle w:val="Ohne"/>
          <w:b/>
          <w:bCs/>
          <w:sz w:val="20"/>
          <w:szCs w:val="20"/>
        </w:rPr>
      </w:pPr>
      <w:r>
        <w:rPr>
          <w:rStyle w:val="Ohne"/>
          <w:rFonts w:eastAsia="Arial Unicode MS" w:cs="Arial Unicode MS"/>
          <w:b/>
          <w:bCs/>
          <w:sz w:val="20"/>
          <w:szCs w:val="20"/>
        </w:rPr>
        <w:t xml:space="preserve">Veröffentlicht von: </w:t>
      </w:r>
    </w:p>
    <w:p w14:paraId="708E0D7A" w14:textId="77777777" w:rsidR="0049670C" w:rsidRDefault="0049670C">
      <w:pPr>
        <w:pStyle w:val="NoSpacing"/>
        <w:rPr>
          <w:rStyle w:val="OhneA"/>
          <w:sz w:val="20"/>
          <w:szCs w:val="20"/>
        </w:rPr>
      </w:pPr>
    </w:p>
    <w:p w14:paraId="14A7ED85" w14:textId="77777777" w:rsidR="0049670C" w:rsidRPr="00EA0B84" w:rsidRDefault="00624800">
      <w:pPr>
        <w:pStyle w:val="NoSpacing"/>
        <w:rPr>
          <w:rStyle w:val="Ohne"/>
          <w:sz w:val="20"/>
          <w:szCs w:val="20"/>
          <w:lang w:val="en-US"/>
        </w:rPr>
      </w:pPr>
      <w:r w:rsidRPr="00EA0B84">
        <w:rPr>
          <w:rStyle w:val="Ohne"/>
          <w:rFonts w:eastAsia="Arial Unicode MS" w:cs="Arial Unicode MS"/>
          <w:sz w:val="20"/>
          <w:szCs w:val="20"/>
          <w:lang w:val="en-US"/>
        </w:rPr>
        <w:t>AD Communications</w:t>
      </w:r>
    </w:p>
    <w:p w14:paraId="094FC5E3" w14:textId="77777777" w:rsidR="0049670C" w:rsidRPr="00EA0B84" w:rsidRDefault="00624800">
      <w:pPr>
        <w:pStyle w:val="NoSpacing"/>
        <w:rPr>
          <w:rStyle w:val="Ohne"/>
          <w:sz w:val="20"/>
          <w:szCs w:val="20"/>
          <w:lang w:val="en-US"/>
        </w:rPr>
      </w:pPr>
      <w:r w:rsidRPr="00EA0B84">
        <w:rPr>
          <w:rStyle w:val="Ohne"/>
          <w:rFonts w:eastAsia="Arial Unicode MS" w:cs="Arial Unicode MS"/>
          <w:sz w:val="20"/>
          <w:szCs w:val="20"/>
          <w:lang w:val="en-US"/>
        </w:rPr>
        <w:t>Daniel Porter</w:t>
      </w:r>
    </w:p>
    <w:p w14:paraId="54673C47" w14:textId="77777777" w:rsidR="0049670C" w:rsidRPr="00A94EB6" w:rsidRDefault="00624800">
      <w:pPr>
        <w:pStyle w:val="NoSpacing"/>
      </w:pPr>
      <w:r w:rsidRPr="00A94EB6">
        <w:rPr>
          <w:rStyle w:val="Ohne"/>
          <w:rFonts w:eastAsia="Arial Unicode MS" w:cs="Arial Unicode MS"/>
          <w:sz w:val="20"/>
          <w:szCs w:val="20"/>
        </w:rPr>
        <w:t xml:space="preserve">E-mail: </w:t>
      </w:r>
      <w:hyperlink r:id="rId12" w:history="1">
        <w:r w:rsidRPr="00A94EB6">
          <w:rPr>
            <w:rStyle w:val="Hyperlink3"/>
            <w:rFonts w:eastAsia="Arial Unicode MS" w:cs="Arial Unicode MS"/>
          </w:rPr>
          <w:t>dporter@adcomms.co.uk</w:t>
        </w:r>
      </w:hyperlink>
    </w:p>
    <w:sectPr w:rsidR="0049670C" w:rsidRPr="00A94EB6">
      <w:headerReference w:type="default" r:id="rId13"/>
      <w:footerReference w:type="default" r:id="rId14"/>
      <w:pgSz w:w="11900" w:h="16840"/>
      <w:pgMar w:top="3119" w:right="1440" w:bottom="1440" w:left="1440" w:header="170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D0E03" w14:textId="77777777" w:rsidR="00624800" w:rsidRDefault="00624800">
      <w:r>
        <w:separator/>
      </w:r>
    </w:p>
  </w:endnote>
  <w:endnote w:type="continuationSeparator" w:id="0">
    <w:p w14:paraId="57904290" w14:textId="77777777" w:rsidR="00624800" w:rsidRDefault="0062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DDA2" w14:textId="77777777" w:rsidR="0049670C" w:rsidRDefault="00624800">
    <w:pPr>
      <w:pStyle w:val="Footer"/>
      <w:tabs>
        <w:tab w:val="clear" w:pos="9026"/>
        <w:tab w:val="right" w:pos="9000"/>
      </w:tabs>
      <w:jc w:val="right"/>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von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74CEE" w14:textId="77777777" w:rsidR="00624800" w:rsidRDefault="00624800">
      <w:r>
        <w:separator/>
      </w:r>
    </w:p>
  </w:footnote>
  <w:footnote w:type="continuationSeparator" w:id="0">
    <w:p w14:paraId="2A12602C" w14:textId="77777777" w:rsidR="00624800" w:rsidRDefault="0062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F26B" w14:textId="77777777" w:rsidR="0049670C" w:rsidRDefault="00624800">
    <w:pPr>
      <w:pStyle w:val="Header"/>
      <w:tabs>
        <w:tab w:val="clear" w:pos="9026"/>
        <w:tab w:val="right" w:pos="9000"/>
      </w:tabs>
    </w:pPr>
    <w:r>
      <w:rPr>
        <w:noProof/>
      </w:rPr>
      <w:drawing>
        <wp:anchor distT="152400" distB="152400" distL="152400" distR="152400" simplePos="0" relativeHeight="251658240" behindDoc="1" locked="0" layoutInCell="1" allowOverlap="1" wp14:anchorId="101EB37B" wp14:editId="04D83620">
          <wp:simplePos x="0" y="0"/>
          <wp:positionH relativeFrom="page">
            <wp:posOffset>5600700</wp:posOffset>
          </wp:positionH>
          <wp:positionV relativeFrom="page">
            <wp:posOffset>965835</wp:posOffset>
          </wp:positionV>
          <wp:extent cx="1382395" cy="499745"/>
          <wp:effectExtent l="0" t="0" r="0" b="0"/>
          <wp:wrapNone/>
          <wp:docPr id="1073741825" name="officeArt object" descr="gmg_logo_cmyk"/>
          <wp:cNvGraphicFramePr/>
          <a:graphic xmlns:a="http://schemas.openxmlformats.org/drawingml/2006/main">
            <a:graphicData uri="http://schemas.openxmlformats.org/drawingml/2006/picture">
              <pic:pic xmlns:pic="http://schemas.openxmlformats.org/drawingml/2006/picture">
                <pic:nvPicPr>
                  <pic:cNvPr id="1073741825" name="gmg_logo_cmyk" descr="gmg_logo_cmyk"/>
                  <pic:cNvPicPr>
                    <a:picLocks noChangeAspect="1"/>
                  </pic:cNvPicPr>
                </pic:nvPicPr>
                <pic:blipFill>
                  <a:blip r:embed="rId1"/>
                  <a:stretch>
                    <a:fillRect/>
                  </a:stretch>
                </pic:blipFill>
                <pic:spPr>
                  <a:xfrm>
                    <a:off x="0" y="0"/>
                    <a:ext cx="1382395" cy="499745"/>
                  </a:xfrm>
                  <a:prstGeom prst="rect">
                    <a:avLst/>
                  </a:prstGeom>
                  <a:ln w="12700" cap="flat">
                    <a:noFill/>
                    <a:miter lim="400000"/>
                  </a:ln>
                  <a:effectLst/>
                </pic:spPr>
              </pic:pic>
            </a:graphicData>
          </a:graphic>
        </wp:anchor>
      </w:drawing>
    </w:r>
    <w:r>
      <w:rPr>
        <w:sz w:val="36"/>
        <w:szCs w:val="36"/>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0C"/>
    <w:rsid w:val="0001187C"/>
    <w:rsid w:val="000917CC"/>
    <w:rsid w:val="0013284C"/>
    <w:rsid w:val="0049670C"/>
    <w:rsid w:val="00624800"/>
    <w:rsid w:val="00A94EB6"/>
    <w:rsid w:val="00EA0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44A1"/>
  <w15:docId w15:val="{F0C26C8D-60ED-4820-880D-5BBC953F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pacing w:after="160" w:line="259" w:lineRule="auto"/>
    </w:pPr>
    <w:rPr>
      <w:rFonts w:ascii="Arial" w:hAnsi="Arial" w:cs="Arial Unicode MS"/>
      <w:color w:val="000000"/>
      <w:sz w:val="22"/>
      <w:szCs w:val="22"/>
      <w:u w:color="000000"/>
    </w:rPr>
  </w:style>
  <w:style w:type="paragraph" w:styleId="Footer">
    <w:name w:val="footer"/>
    <w:pPr>
      <w:tabs>
        <w:tab w:val="center" w:pos="4513"/>
        <w:tab w:val="right" w:pos="9026"/>
      </w:tabs>
      <w:spacing w:after="160" w:line="259" w:lineRule="auto"/>
    </w:pPr>
    <w:rPr>
      <w:rFonts w:ascii="Arial" w:hAnsi="Arial" w:cs="Arial Unicode MS"/>
      <w:color w:val="000000"/>
      <w:sz w:val="22"/>
      <w:szCs w:val="22"/>
      <w:u w:color="000000"/>
    </w:rPr>
  </w:style>
  <w:style w:type="paragraph" w:customStyle="1" w:styleId="TextA">
    <w:name w:val="Text A"/>
    <w:pPr>
      <w:spacing w:after="160" w:line="259" w:lineRule="auto"/>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TextB">
    <w:name w:val="Text B"/>
    <w:pPr>
      <w:spacing w:before="160" w:after="160" w:line="259" w:lineRule="auto"/>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C">
    <w:name w:val="Text C"/>
    <w:pPr>
      <w:spacing w:after="160" w:line="259" w:lineRule="auto"/>
    </w:pPr>
    <w:rPr>
      <w:rFonts w:ascii="Arial" w:eastAsia="Arial" w:hAnsi="Arial" w:cs="Arial"/>
      <w:color w:val="000000"/>
      <w:sz w:val="22"/>
      <w:szCs w:val="22"/>
      <w:u w:color="000000"/>
      <w14:textOutline w14:w="12700" w14:cap="flat" w14:cmpd="sng" w14:algn="ctr">
        <w14:noFill/>
        <w14:prstDash w14:val="solid"/>
        <w14:miter w14:lim="400000"/>
      </w14:textOutline>
    </w:rPr>
  </w:style>
  <w:style w:type="character" w:customStyle="1" w:styleId="OhneA">
    <w:name w:val="Ohne A"/>
  </w:style>
  <w:style w:type="paragraph" w:styleId="NoSpacing">
    <w:name w:val="No Spacing"/>
    <w:pPr>
      <w:spacing w:after="160" w:line="259" w:lineRule="auto"/>
      <w:jc w:val="both"/>
    </w:pPr>
    <w:rPr>
      <w:rFonts w:ascii="Arial" w:eastAsia="Arial" w:hAnsi="Arial" w:cs="Arial"/>
      <w:color w:val="000000"/>
      <w:sz w:val="18"/>
      <w:szCs w:val="18"/>
      <w:u w:color="000000"/>
    </w:rPr>
  </w:style>
  <w:style w:type="paragraph" w:customStyle="1" w:styleId="TextD">
    <w:name w:val="Text D"/>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Ohne">
    <w:name w:val="Ohne"/>
  </w:style>
  <w:style w:type="character" w:customStyle="1" w:styleId="Hyperlink0">
    <w:name w:val="Hyperlink.0"/>
    <w:basedOn w:val="Ohne"/>
    <w:rPr>
      <w:rFonts w:ascii="Arial" w:eastAsia="Arial" w:hAnsi="Arial" w:cs="Arial"/>
      <w:sz w:val="18"/>
      <w:szCs w:val="18"/>
      <w:u w:val="single" w:color="FF0000"/>
    </w:rPr>
  </w:style>
  <w:style w:type="character" w:customStyle="1" w:styleId="Hyperlink1">
    <w:name w:val="Hyperlink.1"/>
    <w:basedOn w:val="Ohne"/>
    <w:rPr>
      <w:rFonts w:ascii="Arial" w:eastAsia="Arial" w:hAnsi="Arial" w:cs="Arial"/>
      <w:outline w:val="0"/>
      <w:color w:val="0000FF"/>
      <w:sz w:val="20"/>
      <w:szCs w:val="20"/>
      <w:u w:val="single" w:color="0000FF"/>
      <w:lang w:val="de-DE"/>
    </w:rPr>
  </w:style>
  <w:style w:type="character" w:customStyle="1" w:styleId="Hyperlink3">
    <w:name w:val="Hyperlink.3"/>
    <w:rPr>
      <w:rFonts w:ascii="Arial" w:eastAsia="Arial" w:hAnsi="Arial" w:cs="Arial"/>
      <w:outline w:val="0"/>
      <w:color w:val="0000FF"/>
      <w:sz w:val="20"/>
      <w:szCs w:val="20"/>
      <w:u w:val="single" w:color="0000FF"/>
    </w:rPr>
  </w:style>
  <w:style w:type="paragraph" w:styleId="Revision">
    <w:name w:val="Revision"/>
    <w:hidden/>
    <w:uiPriority w:val="99"/>
    <w:semiHidden/>
    <w:rsid w:val="0062480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GMGColor.E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mgcolor.com/" TargetMode="External"/><Relationship Id="rId12" Type="http://schemas.openxmlformats.org/officeDocument/2006/relationships/hyperlink" Target="mailto:dporter@adcomms.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r@gmgcolor.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linkedin.com/company/gmg" TargetMode="External"/><Relationship Id="rId4" Type="http://schemas.openxmlformats.org/officeDocument/2006/relationships/footnotes" Target="footnotes.xml"/><Relationship Id="rId9" Type="http://schemas.openxmlformats.org/officeDocument/2006/relationships/hyperlink" Target="http://x.com/gmgcolo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2505</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 Knap</dc:creator>
  <cp:lastModifiedBy>Rona Knap</cp:lastModifiedBy>
  <cp:revision>5</cp:revision>
  <dcterms:created xsi:type="dcterms:W3CDTF">2024-10-07T10:37:00Z</dcterms:created>
  <dcterms:modified xsi:type="dcterms:W3CDTF">2024-10-08T11:55:00Z</dcterms:modified>
</cp:coreProperties>
</file>