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6C07" w14:textId="77777777" w:rsidR="00585E88" w:rsidRDefault="00F1219C">
      <w:pPr>
        <w:pStyle w:val="p1"/>
        <w:rPr>
          <w:b/>
          <w:sz w:val="20"/>
          <w:szCs w:val="20"/>
        </w:rPr>
      </w:pPr>
      <w:r>
        <w:rPr>
          <w:noProof/>
        </w:rPr>
        <w:drawing>
          <wp:anchor distT="0" distB="0" distL="0" distR="0" simplePos="0" relativeHeight="4" behindDoc="0" locked="0" layoutInCell="0" allowOverlap="1" wp14:anchorId="6E4B40DC" wp14:editId="58042AB6">
            <wp:simplePos x="0" y="0"/>
            <wp:positionH relativeFrom="page">
              <wp:posOffset>5278120</wp:posOffset>
            </wp:positionH>
            <wp:positionV relativeFrom="paragraph">
              <wp:posOffset>-861695</wp:posOffset>
            </wp:positionV>
            <wp:extent cx="2432050" cy="894080"/>
            <wp:effectExtent l="0" t="0" r="0" b="0"/>
            <wp:wrapNone/>
            <wp:docPr id="1"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r>
        <w:rPr>
          <w:b/>
          <w:sz w:val="20"/>
        </w:rPr>
        <w:t>Témoignage client</w:t>
      </w:r>
    </w:p>
    <w:p w14:paraId="3FFC1186" w14:textId="77777777" w:rsidR="00585E88" w:rsidRDefault="00585E88">
      <w:pPr>
        <w:pStyle w:val="p1"/>
        <w:rPr>
          <w:szCs w:val="20"/>
        </w:rPr>
      </w:pPr>
    </w:p>
    <w:p w14:paraId="4439185F" w14:textId="77777777" w:rsidR="00585E88" w:rsidRDefault="00F1219C">
      <w:pPr>
        <w:pStyle w:val="Standard1"/>
        <w:rPr>
          <w:rFonts w:ascii="Arial" w:hAnsi="Arial" w:cs="Arial"/>
          <w:szCs w:val="20"/>
        </w:rPr>
      </w:pPr>
      <w:r>
        <w:rPr>
          <w:rFonts w:ascii="Arial" w:hAnsi="Arial"/>
        </w:rPr>
        <w:t>Contact presse :</w:t>
      </w:r>
    </w:p>
    <w:p w14:paraId="583DC069" w14:textId="77777777" w:rsidR="007354E7" w:rsidRPr="00EC1E40" w:rsidRDefault="007354E7" w:rsidP="007354E7">
      <w:pPr>
        <w:pStyle w:val="Standard1"/>
        <w:rPr>
          <w:rFonts w:ascii="Arial" w:hAnsi="Arial"/>
          <w:color w:val="00B0F0"/>
        </w:rPr>
      </w:pPr>
      <w:r>
        <w:rPr>
          <w:rFonts w:ascii="Arial" w:hAnsi="Arial"/>
          <w:color w:val="000000"/>
        </w:rPr>
        <w:t xml:space="preserve">Elni Van Rensburg </w:t>
      </w:r>
      <w:r>
        <w:rPr>
          <w:rFonts w:ascii="Arial" w:hAnsi="Arial" w:cs="Arial"/>
          <w:color w:val="000000"/>
          <w:szCs w:val="20"/>
        </w:rPr>
        <w:t xml:space="preserve">- </w:t>
      </w:r>
      <w:r>
        <w:rPr>
          <w:rFonts w:ascii="Arial" w:hAnsi="Arial"/>
          <w:color w:val="000000"/>
        </w:rPr>
        <w:t xml:space="preserve">+1 830 317 0950 - </w:t>
      </w:r>
      <w:hyperlink r:id="rId10" w:history="1">
        <w:r w:rsidRPr="00EC1E40">
          <w:rPr>
            <w:rStyle w:val="Hyperlink"/>
            <w:rFonts w:ascii="Arial" w:hAnsi="Arial"/>
            <w:color w:val="0070C0"/>
          </w:rPr>
          <w:t>elni.vanrensburg@miraclon.com</w:t>
        </w:r>
      </w:hyperlink>
      <w:r w:rsidRPr="00EC1E40">
        <w:rPr>
          <w:rFonts w:ascii="Arial" w:hAnsi="Arial"/>
          <w:color w:val="0070C0"/>
        </w:rPr>
        <w:t xml:space="preserve"> </w:t>
      </w:r>
    </w:p>
    <w:p w14:paraId="28E484AF" w14:textId="11445589" w:rsidR="00585E88" w:rsidRDefault="007354E7" w:rsidP="00FB5B01">
      <w:pPr>
        <w:pStyle w:val="Standard1"/>
        <w:rPr>
          <w:rFonts w:ascii="Arial" w:hAnsi="Arial" w:cs="Arial"/>
          <w:color w:val="000000"/>
          <w:szCs w:val="20"/>
        </w:rPr>
      </w:pPr>
      <w:r w:rsidRPr="00EC1E40">
        <w:rPr>
          <w:rFonts w:ascii="Arial" w:hAnsi="Arial"/>
          <w:color w:val="000000"/>
        </w:rPr>
        <w:t xml:space="preserve">Aimee Parsons - </w:t>
      </w:r>
      <w:r>
        <w:rPr>
          <w:rStyle w:val="normaltextrun"/>
          <w:rFonts w:ascii="Arial" w:hAnsi="Arial" w:cs="Arial"/>
          <w:color w:val="000000"/>
          <w:sz w:val="19"/>
          <w:szCs w:val="19"/>
          <w:shd w:val="clear" w:color="auto" w:fill="FFFFFF"/>
          <w:lang w:val="es-ES"/>
        </w:rPr>
        <w:t xml:space="preserve">+44 (0)1372 464470 – </w:t>
      </w:r>
      <w:hyperlink r:id="rId11" w:tgtFrame="_blank" w:history="1">
        <w:r w:rsidRPr="00EC1E40">
          <w:rPr>
            <w:rStyle w:val="normaltextrun"/>
            <w:rFonts w:ascii="Arial" w:hAnsi="Arial" w:cs="Arial"/>
            <w:color w:val="0070C0"/>
            <w:sz w:val="19"/>
            <w:szCs w:val="19"/>
            <w:u w:val="single"/>
            <w:shd w:val="clear" w:color="auto" w:fill="FFFFFF"/>
            <w:lang w:val="es-ES"/>
          </w:rPr>
          <w:t>aparsons@adcomms.co.uk</w:t>
        </w:r>
      </w:hyperlink>
      <w:r w:rsidRPr="00EC1E40">
        <w:rPr>
          <w:rStyle w:val="normaltextrun"/>
          <w:rFonts w:ascii="Arial" w:hAnsi="Arial" w:cs="Arial"/>
          <w:color w:val="0070C0"/>
          <w:sz w:val="19"/>
          <w:szCs w:val="19"/>
          <w:shd w:val="clear" w:color="auto" w:fill="FFFFFF"/>
          <w:lang w:val="es-ES"/>
        </w:rPr>
        <w:t>  </w:t>
      </w:r>
      <w:r w:rsidRPr="00EC1E40">
        <w:rPr>
          <w:rStyle w:val="normaltextrun"/>
          <w:color w:val="0070C0"/>
          <w:shd w:val="clear" w:color="auto" w:fill="FFFFFF"/>
        </w:rPr>
        <w:t>  </w:t>
      </w:r>
      <w:r w:rsidRPr="00EC1E40">
        <w:rPr>
          <w:rStyle w:val="eop"/>
          <w:color w:val="0070C0"/>
          <w:szCs w:val="20"/>
          <w:shd w:val="clear" w:color="auto" w:fill="FFFFFF"/>
        </w:rPr>
        <w:t> </w:t>
      </w:r>
      <w:r w:rsidRPr="00EC1E40">
        <w:rPr>
          <w:rFonts w:ascii="Arial" w:hAnsi="Arial"/>
          <w:color w:val="0070C0"/>
        </w:rPr>
        <w:br/>
      </w:r>
      <w:r w:rsidR="00F1219C">
        <w:rPr>
          <w:rFonts w:ascii="Arial" w:hAnsi="Arial"/>
          <w:color w:val="000000"/>
        </w:rPr>
        <w:br/>
      </w:r>
    </w:p>
    <w:p w14:paraId="61C2F3C8" w14:textId="49F5D78F" w:rsidR="00585E88" w:rsidRDefault="007354E7">
      <w:pPr>
        <w:pStyle w:val="Standard"/>
        <w:rPr>
          <w:rFonts w:ascii="Arial" w:hAnsi="Arial" w:cs="Arial"/>
          <w:color w:val="000000" w:themeColor="text1"/>
        </w:rPr>
      </w:pPr>
      <w:r>
        <w:rPr>
          <w:rFonts w:ascii="Arial" w:hAnsi="Arial"/>
          <w:color w:val="000000" w:themeColor="text1"/>
        </w:rPr>
        <w:t>13</w:t>
      </w:r>
      <w:r w:rsidR="00F1219C">
        <w:rPr>
          <w:rFonts w:ascii="Arial" w:hAnsi="Arial"/>
          <w:color w:val="000000" w:themeColor="text1"/>
        </w:rPr>
        <w:t> février 2025</w:t>
      </w:r>
    </w:p>
    <w:p w14:paraId="0F0F2111" w14:textId="77777777" w:rsidR="00585E88" w:rsidRDefault="00585E88">
      <w:pPr>
        <w:pStyle w:val="Default"/>
        <w:spacing w:line="360" w:lineRule="auto"/>
        <w:rPr>
          <w:sz w:val="26"/>
        </w:rPr>
      </w:pPr>
    </w:p>
    <w:p w14:paraId="527441BF" w14:textId="77777777" w:rsidR="00585E88" w:rsidRDefault="00F1219C">
      <w:pPr>
        <w:pStyle w:val="Default"/>
        <w:spacing w:line="360" w:lineRule="auto"/>
        <w:jc w:val="center"/>
      </w:pPr>
      <w:r>
        <w:rPr>
          <w:b/>
          <w:sz w:val="26"/>
        </w:rPr>
        <w:t>Securikett internalise la production de plaques flexo</w:t>
      </w:r>
      <w:r>
        <w:rPr>
          <w:b/>
          <w:sz w:val="26"/>
        </w:rPr>
        <w:br/>
        <w:t>grâce à la technologie FLEXCEL NX Ultra Solution de Miraclon</w:t>
      </w:r>
    </w:p>
    <w:p w14:paraId="510B1B8C" w14:textId="77777777" w:rsidR="00585E88" w:rsidRDefault="00585E88">
      <w:pPr>
        <w:pStyle w:val="Default"/>
        <w:spacing w:line="360" w:lineRule="auto"/>
        <w:rPr>
          <w:sz w:val="22"/>
        </w:rPr>
      </w:pPr>
    </w:p>
    <w:p w14:paraId="322C9790" w14:textId="77777777" w:rsidR="00585E88" w:rsidRDefault="00F1219C">
      <w:pPr>
        <w:pStyle w:val="Default"/>
        <w:spacing w:line="360" w:lineRule="auto"/>
        <w:rPr>
          <w:sz w:val="22"/>
        </w:rPr>
      </w:pPr>
      <w:r>
        <w:rPr>
          <w:sz w:val="22"/>
        </w:rPr>
        <w:t xml:space="preserve">Principal fournisseur de solutions de protection de produits et de marques, Securikett a investi dans un système FLEXCEL NX 3548 grand format disposant d’un processeur FLEXCEL NX Ultra 35 pour internaliser sa production de plaques flexo. Située à Münchendorf, près de Vienne (Autriche), l’entreprise familiale développe et produit des étiquettes et des scellés de sécurité pour protéger les produits et les emballages de la falsification et de la contrefaçon. </w:t>
      </w:r>
    </w:p>
    <w:p w14:paraId="73BF30A6" w14:textId="77777777" w:rsidR="00585E88" w:rsidRDefault="00585E88">
      <w:pPr>
        <w:pStyle w:val="Default"/>
        <w:spacing w:line="360" w:lineRule="auto"/>
        <w:rPr>
          <w:sz w:val="22"/>
          <w:szCs w:val="22"/>
        </w:rPr>
      </w:pPr>
    </w:p>
    <w:p w14:paraId="08BA3922" w14:textId="0803E3D6" w:rsidR="00585E88" w:rsidRDefault="00F1219C">
      <w:pPr>
        <w:pStyle w:val="Default"/>
        <w:spacing w:line="360" w:lineRule="auto"/>
        <w:rPr>
          <w:sz w:val="22"/>
        </w:rPr>
      </w:pPr>
      <w:r>
        <w:rPr>
          <w:b/>
          <w:sz w:val="22"/>
        </w:rPr>
        <w:t>Produire des plaques flexo en interne accélère et sécurise les processus</w:t>
      </w:r>
      <w:r>
        <w:rPr>
          <w:b/>
          <w:sz w:val="22"/>
        </w:rPr>
        <w:br/>
      </w:r>
      <w:r>
        <w:rPr>
          <w:sz w:val="22"/>
        </w:rPr>
        <w:t>« En investissant dans les solutions FLEXCEL de Miraclon, nous prolongeons notre chaîne de valeur et disposons d’un contrôle total sur la production de plaques d’impression flexo. Nous avons ainsi pu gagner en flexibilité et réduire de manière significative les délais d’exécution des plaques prêtes à imprimer », explique Lukas Lovrek, directeur général. « Pouvoir produire nos propres plaques sur site réduit également les risques liés à l’approvisionnement et améliore la fiabilité. »</w:t>
      </w:r>
    </w:p>
    <w:p w14:paraId="6B2E8552" w14:textId="77777777" w:rsidR="00585E88" w:rsidRDefault="00585E88">
      <w:pPr>
        <w:pStyle w:val="Default"/>
        <w:spacing w:line="360" w:lineRule="auto"/>
        <w:rPr>
          <w:sz w:val="22"/>
          <w:szCs w:val="22"/>
        </w:rPr>
      </w:pPr>
    </w:p>
    <w:p w14:paraId="72BD8EED" w14:textId="77777777" w:rsidR="00585E88" w:rsidRDefault="00F1219C">
      <w:pPr>
        <w:pStyle w:val="Default"/>
        <w:spacing w:line="360" w:lineRule="auto"/>
        <w:rPr>
          <w:sz w:val="22"/>
          <w:szCs w:val="22"/>
        </w:rPr>
      </w:pPr>
      <w:r>
        <w:rPr>
          <w:sz w:val="22"/>
        </w:rPr>
        <w:t xml:space="preserve">Pour Securikett, internaliser la production des plaques flexo présente aussi des avantages en matière de durabilité. « Cela permet d’éviter de transporter les plaques et nos fournisseurs externes n’ont donc plus besoin d’acheter le matériel d’emballage servant à les expédier », ajoute-t-il. « En outre, avec un processus de production des plaques FLEXCEL NX Ultra à base d’eau, l’absence de COV et de solvants présente des avantages environnementaux. » </w:t>
      </w:r>
    </w:p>
    <w:p w14:paraId="6D2108EA" w14:textId="77777777" w:rsidR="00585E88" w:rsidRDefault="00585E88">
      <w:pPr>
        <w:pStyle w:val="Default"/>
        <w:spacing w:line="360" w:lineRule="auto"/>
        <w:rPr>
          <w:sz w:val="22"/>
          <w:szCs w:val="22"/>
        </w:rPr>
      </w:pPr>
    </w:p>
    <w:p w14:paraId="275FEBBA" w14:textId="77777777" w:rsidR="00585E88" w:rsidRDefault="00F1219C">
      <w:pPr>
        <w:pStyle w:val="Default"/>
        <w:spacing w:line="360" w:lineRule="auto"/>
        <w:rPr>
          <w:sz w:val="22"/>
          <w:szCs w:val="22"/>
        </w:rPr>
      </w:pPr>
      <w:r>
        <w:rPr>
          <w:sz w:val="22"/>
        </w:rPr>
        <w:t xml:space="preserve">Securikett utilise les plaques FLEXCEL NX Ultra sur ses presses flexo pour petite laize, afin d’imprimer sur un large éventail de supports à l’aide d’encres UV. D’après Lukas, les résultats d’impression sont excellents. L’une des fonctions spéciales du système FLEXCEL NX est son option de gravure haute résolution de 9 600 x 4 800 ppp, qui permet d’imprimer avec fiabilité </w:t>
      </w:r>
      <w:r>
        <w:rPr>
          <w:sz w:val="22"/>
        </w:rPr>
        <w:lastRenderedPageBreak/>
        <w:t>des microtextes de grande lisibilité et des caractéristiques de sécurité délicates sur les plaques flexo.</w:t>
      </w:r>
    </w:p>
    <w:p w14:paraId="25E2F5A5" w14:textId="77777777" w:rsidR="00585E88" w:rsidRDefault="00585E88">
      <w:pPr>
        <w:pStyle w:val="Default"/>
        <w:spacing w:line="360" w:lineRule="auto"/>
        <w:rPr>
          <w:sz w:val="22"/>
          <w:szCs w:val="22"/>
        </w:rPr>
      </w:pPr>
    </w:p>
    <w:p w14:paraId="0EF681D4" w14:textId="77777777" w:rsidR="00585E88" w:rsidRDefault="00F1219C">
      <w:pPr>
        <w:spacing w:line="360" w:lineRule="auto"/>
        <w:rPr>
          <w:rFonts w:ascii="Arial" w:eastAsia="Arial" w:hAnsi="Arial" w:cs="Arial"/>
          <w:color w:val="000000" w:themeColor="text1"/>
          <w:sz w:val="22"/>
          <w:szCs w:val="22"/>
        </w:rPr>
      </w:pPr>
      <w:r>
        <w:rPr>
          <w:rFonts w:ascii="Arial" w:hAnsi="Arial"/>
          <w:sz w:val="22"/>
        </w:rPr>
        <w:t>La solution FLEXCEL NX Ultra est basée sur la technologie éprouvée de Miraclon, FLEXCEL NX, qui propose une solution de production de plaques entièrement intégrée développée dès le départ pour surmonter les défis courants de la flexographie traditionnelle. Elle</w:t>
      </w:r>
      <w:r>
        <w:rPr>
          <w:rFonts w:ascii="Arial" w:hAnsi="Arial"/>
          <w:color w:val="000000" w:themeColor="text1"/>
          <w:sz w:val="22"/>
        </w:rPr>
        <w:t xml:space="preserve"> résout les problèmes fondamentaux liés à toutes les autres solutions de production de plaques à base d’eau, en assurant un processus de production de plaques à la fois propre, régulier, sans débris et extrêmement productif, capable de délivrer des plaques très performantes prêtes à l’impression en moins d’une heure. </w:t>
      </w:r>
    </w:p>
    <w:p w14:paraId="21DF4F0D" w14:textId="77777777" w:rsidR="00585E88" w:rsidRDefault="00585E88">
      <w:pPr>
        <w:spacing w:line="360" w:lineRule="auto"/>
        <w:jc w:val="center"/>
        <w:rPr>
          <w:rFonts w:ascii="Arial" w:hAnsi="Arial"/>
          <w:b/>
          <w:sz w:val="22"/>
          <w:szCs w:val="22"/>
        </w:rPr>
      </w:pPr>
    </w:p>
    <w:p w14:paraId="0EE85F92" w14:textId="77777777" w:rsidR="00585E88" w:rsidRDefault="00F1219C">
      <w:pPr>
        <w:spacing w:line="360" w:lineRule="auto"/>
        <w:jc w:val="center"/>
        <w:rPr>
          <w:rFonts w:ascii="Arial" w:hAnsi="Arial" w:cs="Arial"/>
          <w:b/>
          <w:bCs/>
          <w:sz w:val="22"/>
          <w:szCs w:val="22"/>
        </w:rPr>
      </w:pPr>
      <w:r>
        <w:rPr>
          <w:rFonts w:ascii="Arial" w:hAnsi="Arial"/>
          <w:b/>
          <w:sz w:val="22"/>
        </w:rPr>
        <w:t>FIN</w:t>
      </w:r>
    </w:p>
    <w:p w14:paraId="03A72036" w14:textId="77777777" w:rsidR="00585E88" w:rsidRDefault="00585E88">
      <w:pPr>
        <w:spacing w:line="360" w:lineRule="auto"/>
        <w:jc w:val="center"/>
        <w:rPr>
          <w:rFonts w:ascii="Arial" w:hAnsi="Arial" w:cs="Arial"/>
          <w:b/>
          <w:bCs/>
          <w:sz w:val="22"/>
          <w:szCs w:val="22"/>
        </w:rPr>
      </w:pPr>
    </w:p>
    <w:p w14:paraId="3D8B65A0" w14:textId="77777777" w:rsidR="00585E88" w:rsidRDefault="00585E88">
      <w:pPr>
        <w:spacing w:line="276" w:lineRule="auto"/>
        <w:jc w:val="center"/>
        <w:rPr>
          <w:rFonts w:ascii="Arial" w:hAnsi="Arial" w:cs="Arial"/>
          <w:b/>
          <w:bCs/>
          <w:szCs w:val="20"/>
        </w:rPr>
      </w:pPr>
    </w:p>
    <w:p w14:paraId="27C672D5" w14:textId="77777777" w:rsidR="00585E88" w:rsidRDefault="00F1219C">
      <w:pPr>
        <w:spacing w:line="276" w:lineRule="auto"/>
        <w:rPr>
          <w:rFonts w:ascii="Arial" w:hAnsi="Arial" w:cs="Arial"/>
          <w:b/>
          <w:szCs w:val="20"/>
        </w:rPr>
      </w:pPr>
      <w:r>
        <w:rPr>
          <w:rFonts w:ascii="Arial" w:hAnsi="Arial"/>
          <w:b/>
        </w:rPr>
        <w:t>À propos de Miraclon</w:t>
      </w:r>
    </w:p>
    <w:p w14:paraId="033028B4" w14:textId="77777777" w:rsidR="00585E88" w:rsidRDefault="00F1219C">
      <w:pPr>
        <w:spacing w:line="276" w:lineRule="auto"/>
        <w:rPr>
          <w:rFonts w:ascii="Arial" w:hAnsi="Arial" w:cs="Arial"/>
          <w:szCs w:val="20"/>
        </w:rPr>
      </w:pPr>
      <w:r>
        <w:rPr>
          <w:rFonts w:ascii="Arial" w:hAnsi="Arial"/>
        </w:rPr>
        <w:t xml:space="preserve">Chez Miraclon, nous avons une mission claire : transformer l’impression flexographique en partenariat avec nos clients en leur fournissant une technologie et une expertise de pointe qui leur 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2">
        <w:r>
          <w:rPr>
            <w:rStyle w:val="Hyperlink"/>
            <w:rFonts w:ascii="Arial" w:hAnsi="Arial"/>
          </w:rPr>
          <w:t>flexo moderne</w:t>
        </w:r>
      </w:hyperlink>
      <w:r>
        <w:rPr>
          <w:rFonts w:ascii="Arial" w:hAnsi="Arial"/>
        </w:rPr>
        <w:t xml:space="preserve">. Notre équipe dévouée aide nos clients à atteindre le succès commercial en exploitant pleinement le potentiel de leur investissement dans la technologie Miraclon. Découvrez plus d’informations sur </w:t>
      </w:r>
      <w:hyperlink r:id="rId13">
        <w:r>
          <w:rPr>
            <w:rStyle w:val="Hyperlink"/>
            <w:rFonts w:ascii="Arial" w:hAnsi="Arial"/>
          </w:rPr>
          <w:t>www.miraclon.com</w:t>
        </w:r>
      </w:hyperlink>
      <w:r>
        <w:rPr>
          <w:rFonts w:ascii="Arial" w:hAnsi="Arial"/>
        </w:rPr>
        <w:t xml:space="preserve">, et suivez-nous sur </w:t>
      </w:r>
      <w:hyperlink r:id="rId14">
        <w:r>
          <w:rPr>
            <w:rStyle w:val="Hyperlink"/>
            <w:rFonts w:ascii="Arial" w:hAnsi="Arial"/>
          </w:rPr>
          <w:t>LinkedIn</w:t>
        </w:r>
      </w:hyperlink>
      <w:r>
        <w:rPr>
          <w:rFonts w:ascii="Arial" w:hAnsi="Arial"/>
        </w:rPr>
        <w:t xml:space="preserve"> et </w:t>
      </w:r>
      <w:hyperlink r:id="rId15">
        <w:r>
          <w:rPr>
            <w:rStyle w:val="Hyperlink"/>
            <w:rFonts w:ascii="Arial" w:hAnsi="Arial"/>
          </w:rPr>
          <w:t>YouTube</w:t>
        </w:r>
      </w:hyperlink>
      <w:r>
        <w:rPr>
          <w:rFonts w:ascii="Arial" w:hAnsi="Arial"/>
        </w:rPr>
        <w:t xml:space="preserve">. </w:t>
      </w:r>
    </w:p>
    <w:p w14:paraId="69963444" w14:textId="77777777" w:rsidR="00585E88" w:rsidRDefault="00585E88">
      <w:pPr>
        <w:spacing w:line="276" w:lineRule="auto"/>
        <w:rPr>
          <w:rFonts w:ascii="Arial" w:hAnsi="Arial" w:cs="Arial"/>
          <w:b/>
          <w:bCs/>
          <w:szCs w:val="20"/>
        </w:rPr>
      </w:pPr>
    </w:p>
    <w:p w14:paraId="425FFB5B" w14:textId="77777777" w:rsidR="00585E88" w:rsidRDefault="00585E88">
      <w:pPr>
        <w:spacing w:line="276" w:lineRule="auto"/>
        <w:rPr>
          <w:rFonts w:ascii="Arial" w:hAnsi="Arial"/>
          <w:szCs w:val="20"/>
        </w:rPr>
      </w:pPr>
    </w:p>
    <w:p w14:paraId="773ABD0E" w14:textId="77777777" w:rsidR="00585E88" w:rsidRDefault="00F1219C">
      <w:pPr>
        <w:spacing w:line="276" w:lineRule="auto"/>
        <w:rPr>
          <w:rFonts w:ascii="Arial" w:hAnsi="Arial"/>
          <w:b/>
          <w:bCs/>
          <w:szCs w:val="20"/>
        </w:rPr>
      </w:pPr>
      <w:r>
        <w:rPr>
          <w:rFonts w:ascii="Arial" w:hAnsi="Arial"/>
          <w:b/>
        </w:rPr>
        <w:t>À propos de Securikett</w:t>
      </w:r>
    </w:p>
    <w:p w14:paraId="2373AA9D" w14:textId="77777777" w:rsidR="00585E88" w:rsidRDefault="00F1219C">
      <w:pPr>
        <w:pStyle w:val="Default"/>
        <w:spacing w:line="276" w:lineRule="auto"/>
        <w:rPr>
          <w:sz w:val="20"/>
          <w:szCs w:val="20"/>
        </w:rPr>
      </w:pPr>
      <w:r>
        <w:rPr>
          <w:sz w:val="20"/>
        </w:rPr>
        <w:t>Securikett est l’un des premiers fournisseurs mondiaux d’étiquettes de sécurité et propose une solution intelligente et innovante de source unique, qui inclut des preuves d’inviolabilité, ainsi que des services de sécurité et IdO. Les produits Securikett sont utilisés dans les secteurs du luxe, des spiritueux, des médicaments, des pièces de rechange et des boîtes d’expédition. Créée en 2001, l’entreprise emploie aujourd’hui 90 personnes et exporte ses produits dans 45 pays.</w:t>
      </w:r>
    </w:p>
    <w:p w14:paraId="27650B80" w14:textId="77777777" w:rsidR="00585E88" w:rsidRDefault="00585E88">
      <w:pPr>
        <w:spacing w:line="276" w:lineRule="auto"/>
        <w:rPr>
          <w:szCs w:val="20"/>
        </w:rPr>
      </w:pPr>
    </w:p>
    <w:p w14:paraId="6A76E565" w14:textId="77777777" w:rsidR="00585E88" w:rsidRDefault="00585E88">
      <w:pPr>
        <w:spacing w:line="276" w:lineRule="auto"/>
        <w:jc w:val="center"/>
        <w:rPr>
          <w:rFonts w:ascii="Arial" w:hAnsi="Arial" w:cs="Arial"/>
          <w:b/>
          <w:bCs/>
          <w:szCs w:val="20"/>
        </w:rPr>
      </w:pPr>
    </w:p>
    <w:sectPr w:rsidR="00585E88">
      <w:footerReference w:type="default" r:id="rId16"/>
      <w:footerReference w:type="first" r:id="rId17"/>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D150" w14:textId="77777777" w:rsidR="00356B9E" w:rsidRDefault="00356B9E">
      <w:r>
        <w:separator/>
      </w:r>
    </w:p>
  </w:endnote>
  <w:endnote w:type="continuationSeparator" w:id="0">
    <w:p w14:paraId="65B9EA78" w14:textId="77777777" w:rsidR="00356B9E" w:rsidRDefault="0035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CDA3" w14:textId="77777777" w:rsidR="00585E88" w:rsidRDefault="00F1219C">
    <w:pPr>
      <w:pStyle w:val="Footer"/>
      <w:tabs>
        <w:tab w:val="clear" w:pos="9360"/>
      </w:tabs>
    </w:pPr>
    <w:r>
      <w:rPr>
        <w:noProof/>
      </w:rPr>
      <w:drawing>
        <wp:anchor distT="0" distB="0" distL="0" distR="0" simplePos="0" relativeHeight="251657216" behindDoc="1" locked="0" layoutInCell="0" allowOverlap="1" wp14:anchorId="350D5A58" wp14:editId="5C4FB80F">
          <wp:simplePos x="0" y="0"/>
          <wp:positionH relativeFrom="margin">
            <wp:align>right</wp:align>
          </wp:positionH>
          <wp:positionV relativeFrom="bottomMargin">
            <wp:posOffset>103505</wp:posOffset>
          </wp:positionV>
          <wp:extent cx="550545" cy="543560"/>
          <wp:effectExtent l="0" t="0" r="0" b="0"/>
          <wp:wrapNone/>
          <wp:docPr id="2"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9801705"/>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D032" w14:textId="77777777" w:rsidR="00585E88" w:rsidRDefault="00F1219C">
    <w:pPr>
      <w:pStyle w:val="Footer"/>
      <w:tabs>
        <w:tab w:val="clear" w:pos="9360"/>
      </w:tabs>
    </w:pPr>
    <w:r>
      <w:rPr>
        <w:noProof/>
      </w:rPr>
      <w:drawing>
        <wp:anchor distT="0" distB="0" distL="0" distR="0" simplePos="0" relativeHeight="251658240" behindDoc="1" locked="0" layoutInCell="0" allowOverlap="1" wp14:anchorId="79550C56" wp14:editId="4EC726DE">
          <wp:simplePos x="0" y="0"/>
          <wp:positionH relativeFrom="margin">
            <wp:align>right</wp:align>
          </wp:positionH>
          <wp:positionV relativeFrom="bottomMargin">
            <wp:posOffset>103505</wp:posOffset>
          </wp:positionV>
          <wp:extent cx="550545" cy="543560"/>
          <wp:effectExtent l="0" t="0" r="0" b="0"/>
          <wp:wrapNone/>
          <wp:docPr id="3"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19801705"/>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C974" w14:textId="77777777" w:rsidR="00356B9E" w:rsidRDefault="00356B9E">
      <w:r>
        <w:separator/>
      </w:r>
    </w:p>
  </w:footnote>
  <w:footnote w:type="continuationSeparator" w:id="0">
    <w:p w14:paraId="1F3DB637" w14:textId="77777777" w:rsidR="00356B9E" w:rsidRDefault="0035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autoHyphenation/>
  <w:hyphenationZone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88"/>
    <w:rsid w:val="00093C1F"/>
    <w:rsid w:val="00356B9E"/>
    <w:rsid w:val="0042708E"/>
    <w:rsid w:val="00585E88"/>
    <w:rsid w:val="00645263"/>
    <w:rsid w:val="007354E7"/>
    <w:rsid w:val="00F1219C"/>
    <w:rsid w:val="00FB5B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8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Autospacing="1"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CA2634"/>
    <w:rPr>
      <w:sz w:val="16"/>
      <w:szCs w:val="16"/>
    </w:rPr>
  </w:style>
  <w:style w:type="character" w:customStyle="1" w:styleId="CommentTextChar">
    <w:name w:val="Comment Text Char"/>
    <w:basedOn w:val="DefaultParagraphFont"/>
    <w:link w:val="CommentText"/>
    <w:uiPriority w:val="99"/>
    <w:qFormat/>
    <w:rsid w:val="00CA2634"/>
    <w:rPr>
      <w:rFonts w:ascii="Verdana" w:eastAsia="Times New Roman" w:hAnsi="Verdana" w:cs="Times New Roman"/>
      <w:sz w:val="20"/>
      <w:szCs w:val="20"/>
    </w:rPr>
  </w:style>
  <w:style w:type="character" w:customStyle="1" w:styleId="CommentSubjectChar">
    <w:name w:val="Comment Subject Char"/>
    <w:basedOn w:val="CommentTextChar"/>
    <w:link w:val="CommentSubject"/>
    <w:uiPriority w:val="99"/>
    <w:semiHidden/>
    <w:qFormat/>
    <w:rsid w:val="00CA2634"/>
    <w:rPr>
      <w:rFonts w:ascii="Verdana" w:eastAsia="Times New Roman" w:hAnsi="Verdana" w:cs="Times New Roman"/>
      <w:b/>
      <w:bCs/>
      <w:sz w:val="20"/>
      <w:szCs w:val="20"/>
    </w:rPr>
  </w:style>
  <w:style w:type="character" w:customStyle="1" w:styleId="InternetLink">
    <w:name w:val="Internet Link"/>
    <w:basedOn w:val="DefaultParagraphFont"/>
    <w:uiPriority w:val="99"/>
    <w:qFormat/>
    <w:rsid w:val="00B17D27"/>
    <w:rPr>
      <w:color w:val="0000FF"/>
      <w:u w:val="single"/>
    </w:rPr>
  </w:style>
  <w:style w:type="character" w:customStyle="1" w:styleId="HeaderChar">
    <w:name w:val="Header Char"/>
    <w:basedOn w:val="DefaultParagraphFont"/>
    <w:link w:val="Header"/>
    <w:uiPriority w:val="99"/>
    <w:qFormat/>
    <w:rsid w:val="00B17D27"/>
    <w:rPr>
      <w:rFonts w:ascii="Verdana" w:eastAsia="Times New Roman" w:hAnsi="Verdana" w:cs="Times New Roman"/>
      <w:sz w:val="20"/>
    </w:rPr>
  </w:style>
  <w:style w:type="character" w:customStyle="1" w:styleId="FooterChar">
    <w:name w:val="Footer Char"/>
    <w:basedOn w:val="DefaultParagraphFont"/>
    <w:link w:val="Footer"/>
    <w:uiPriority w:val="99"/>
    <w:qFormat/>
    <w:rsid w:val="00B17D27"/>
    <w:rPr>
      <w:rFonts w:ascii="Verdana" w:eastAsia="Times New Roman" w:hAnsi="Verdana" w:cs="Times New Roman"/>
      <w:sz w:val="20"/>
    </w:rPr>
  </w:style>
  <w:style w:type="character" w:customStyle="1" w:styleId="cf01">
    <w:name w:val="cf01"/>
    <w:basedOn w:val="DefaultParagraphFont"/>
    <w:qFormat/>
    <w:rsid w:val="005E1FFE"/>
    <w:rPr>
      <w:rFonts w:ascii="Segoe UI" w:hAnsi="Segoe UI" w:cs="Segoe UI"/>
      <w:sz w:val="18"/>
      <w:szCs w:val="18"/>
    </w:rPr>
  </w:style>
  <w:style w:type="character" w:customStyle="1" w:styleId="Heading3Char">
    <w:name w:val="Heading 3 Char"/>
    <w:basedOn w:val="DefaultParagraphFont"/>
    <w:link w:val="Heading3"/>
    <w:uiPriority w:val="9"/>
    <w:qFormat/>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Hyperlink">
    <w:name w:val="Hyperlink"/>
    <w:rPr>
      <w:color w:val="000080"/>
      <w:u w:val="single"/>
    </w:rPr>
  </w:style>
  <w:style w:type="character" w:styleId="UnresolvedMention">
    <w:name w:val="Unresolved Mention"/>
    <w:basedOn w:val="DefaultParagraphFont"/>
    <w:uiPriority w:val="99"/>
    <w:qFormat/>
    <w:rsid w:val="0087595A"/>
    <w:rPr>
      <w:color w:val="605E5C"/>
      <w:shd w:val="clear" w:color="auto" w:fill="E1DFDD"/>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styleId="CommentText">
    <w:name w:val="annotation text"/>
    <w:basedOn w:val="Normal"/>
    <w:link w:val="CommentTextChar"/>
    <w:uiPriority w:val="99"/>
    <w:unhideWhenUsed/>
    <w:rsid w:val="00CA2634"/>
    <w:rPr>
      <w:szCs w:val="20"/>
    </w:rPr>
  </w:style>
  <w:style w:type="paragraph" w:styleId="CommentSubject">
    <w:name w:val="annotation subject"/>
    <w:basedOn w:val="CommentText"/>
    <w:next w:val="CommentText"/>
    <w:link w:val="CommentSubjectChar"/>
    <w:uiPriority w:val="99"/>
    <w:semiHidden/>
    <w:unhideWhenUsed/>
    <w:qFormat/>
    <w:rsid w:val="00CA2634"/>
    <w:rPr>
      <w:b/>
      <w:bCs/>
    </w:rPr>
  </w:style>
  <w:style w:type="paragraph" w:styleId="Revision">
    <w:name w:val="Revision"/>
    <w:uiPriority w:val="99"/>
    <w:semiHidden/>
    <w:qFormat/>
    <w:rsid w:val="008B73E2"/>
    <w:rPr>
      <w:rFonts w:ascii="Verdana" w:eastAsia="Times New Roman" w:hAnsi="Verdana" w:cs="Times New Roman"/>
      <w:sz w:val="20"/>
    </w:rPr>
  </w:style>
  <w:style w:type="paragraph" w:customStyle="1" w:styleId="p1">
    <w:name w:val="p1"/>
    <w:basedOn w:val="Normal"/>
    <w:qFormat/>
    <w:rsid w:val="00B17D27"/>
    <w:rPr>
      <w:rFonts w:ascii="Arial" w:hAnsi="Arial" w:cs="Arial"/>
      <w:sz w:val="17"/>
      <w:szCs w:val="17"/>
      <w:lang w:eastAsia="en-GB"/>
    </w:rPr>
  </w:style>
  <w:style w:type="paragraph" w:customStyle="1" w:styleId="Standard">
    <w:name w:val="Standard"/>
    <w:qFormat/>
    <w:rsid w:val="00B17D27"/>
    <w:pPr>
      <w:textAlignment w:val="baseline"/>
    </w:pPr>
    <w:rPr>
      <w:rFonts w:ascii="Verdana" w:eastAsia="Times New Roman" w:hAnsi="Verdana" w:cs="Times New Roman"/>
      <w:kern w:val="2"/>
      <w:sz w:val="20"/>
    </w:rPr>
  </w:style>
  <w:style w:type="paragraph" w:customStyle="1" w:styleId="Kopf-Fuzeile">
    <w:name w:val="Kopf-/Fußzeile"/>
    <w:basedOn w:val="Normal"/>
    <w:qFormat/>
  </w:style>
  <w:style w:type="paragraph" w:styleId="Header">
    <w:name w:val="header"/>
    <w:basedOn w:val="Normal"/>
    <w:link w:val="HeaderChar"/>
    <w:uiPriority w:val="99"/>
    <w:unhideWhenUsed/>
    <w:rsid w:val="00B17D27"/>
    <w:pPr>
      <w:tabs>
        <w:tab w:val="center" w:pos="4680"/>
        <w:tab w:val="right" w:pos="9360"/>
      </w:tabs>
    </w:pPr>
  </w:style>
  <w:style w:type="paragraph" w:styleId="Footer">
    <w:name w:val="footer"/>
    <w:basedOn w:val="Normal"/>
    <w:link w:val="FooterChar"/>
    <w:uiPriority w:val="99"/>
    <w:unhideWhenUsed/>
    <w:rsid w:val="00B17D27"/>
    <w:pPr>
      <w:tabs>
        <w:tab w:val="center" w:pos="4680"/>
        <w:tab w:val="right" w:pos="9360"/>
      </w:tabs>
    </w:pPr>
  </w:style>
  <w:style w:type="paragraph" w:customStyle="1" w:styleId="Standard1">
    <w:name w:val="Standard1"/>
    <w:qFormat/>
    <w:rsid w:val="00774D1B"/>
    <w:pPr>
      <w:textAlignment w:val="baseline"/>
    </w:pPr>
    <w:rPr>
      <w:rFonts w:ascii="Verdana" w:eastAsia="Times New Roman" w:hAnsi="Verdana" w:cs="Times New Roman"/>
      <w:kern w:val="2"/>
      <w:sz w:val="20"/>
    </w:rPr>
  </w:style>
  <w:style w:type="paragraph" w:customStyle="1" w:styleId="Default">
    <w:name w:val="Default"/>
    <w:qFormat/>
    <w:rPr>
      <w:rFonts w:ascii="Arial" w:eastAsia="Calibri" w:hAnsi="Arial"/>
      <w:color w:val="000000"/>
    </w:rPr>
  </w:style>
  <w:style w:type="numbering" w:customStyle="1" w:styleId="KeineListe">
    <w:name w:val="Keine Liste"/>
    <w:uiPriority w:val="99"/>
    <w:semiHidden/>
    <w:unhideWhenUsed/>
    <w:qFormat/>
  </w:style>
  <w:style w:type="character" w:customStyle="1" w:styleId="normaltextrun">
    <w:name w:val="normaltextrun"/>
    <w:basedOn w:val="DefaultParagraphFont"/>
    <w:rsid w:val="007354E7"/>
  </w:style>
  <w:style w:type="character" w:customStyle="1" w:styleId="eop">
    <w:name w:val="eop"/>
    <w:basedOn w:val="DefaultParagraphFont"/>
    <w:rsid w:val="0073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0" ma:contentTypeDescription="Create a new document." ma:contentTypeScope="" ma:versionID="c8ac1739a8ae0302c65f04983ea75909">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90247da54a3e8467fa0b7049468a6b16"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B76D4-1BE8-494D-B75F-1589C0372405}">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5D7AC48F-6326-4423-8AFA-C8F6299153CA}">
  <ds:schemaRefs>
    <ds:schemaRef ds:uri="http://schemas.microsoft.com/sharepoint/v3/contenttype/forms"/>
  </ds:schemaRefs>
</ds:datastoreItem>
</file>

<file path=customXml/itemProps3.xml><?xml version="1.0" encoding="utf-8"?>
<ds:datastoreItem xmlns:ds="http://schemas.openxmlformats.org/officeDocument/2006/customXml" ds:itemID="{9E0723F7-EF9B-43F1-8068-4024336B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2025-02-11T08:14:00Z</dcterms:created>
  <dcterms:modified xsi:type="dcterms:W3CDTF">2025-02-12T15:57:00Z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