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6F8E6" w14:textId="75F0D65B" w:rsidR="00C61EAC" w:rsidRPr="00AB17D0" w:rsidRDefault="004A7CCE" w:rsidP="009A1218">
      <w:pPr>
        <w:spacing w:after="0" w:line="240" w:lineRule="auto"/>
        <w:rPr>
          <w:rFonts w:ascii="Arial" w:hAnsi="Arial" w:cs="Arial"/>
          <w:sz w:val="20"/>
          <w:szCs w:val="20"/>
        </w:rPr>
      </w:pPr>
      <w:r>
        <w:rPr>
          <w:noProof/>
        </w:rPr>
        <w:drawing>
          <wp:anchor distT="0" distB="0" distL="114300" distR="114300" simplePos="0" relativeHeight="251659264" behindDoc="0" locked="0" layoutInCell="1" allowOverlap="1" wp14:anchorId="335C4863" wp14:editId="2021DBBA">
            <wp:simplePos x="0" y="0"/>
            <wp:positionH relativeFrom="page">
              <wp:posOffset>5290640</wp:posOffset>
            </wp:positionH>
            <wp:positionV relativeFrom="paragraph">
              <wp:posOffset>-751133</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F890F" w14:textId="77777777" w:rsidR="009A1218" w:rsidRPr="00636557" w:rsidRDefault="009A1218" w:rsidP="009A1218">
      <w:pPr>
        <w:pStyle w:val="p1"/>
        <w:rPr>
          <w:sz w:val="20"/>
          <w:szCs w:val="20"/>
        </w:rPr>
      </w:pPr>
      <w:r>
        <w:rPr>
          <w:b/>
          <w:sz w:val="20"/>
        </w:rPr>
        <w:t>Comunicado de prensa</w:t>
      </w:r>
    </w:p>
    <w:p w14:paraId="0E79E63C" w14:textId="77777777" w:rsidR="009A1218" w:rsidRPr="00636557" w:rsidRDefault="009A1218" w:rsidP="009A1218">
      <w:pPr>
        <w:pStyle w:val="Standard1"/>
        <w:rPr>
          <w:rFonts w:ascii="Arial" w:hAnsi="Arial" w:cs="Arial"/>
          <w:szCs w:val="20"/>
          <w:lang w:val="en-US"/>
        </w:rPr>
      </w:pPr>
    </w:p>
    <w:p w14:paraId="758240D8" w14:textId="77777777" w:rsidR="009A1218" w:rsidRPr="00636557" w:rsidRDefault="009A1218" w:rsidP="009A1218">
      <w:pPr>
        <w:pStyle w:val="Standard1"/>
        <w:rPr>
          <w:rFonts w:ascii="Arial" w:hAnsi="Arial" w:cs="Arial"/>
          <w:szCs w:val="20"/>
        </w:rPr>
      </w:pPr>
      <w:r>
        <w:rPr>
          <w:rFonts w:ascii="Arial" w:hAnsi="Arial"/>
        </w:rPr>
        <w:t>Contacto de prensa:</w:t>
      </w:r>
    </w:p>
    <w:p w14:paraId="6FCE7070" w14:textId="77777777" w:rsidR="0054188E" w:rsidRDefault="009A1218" w:rsidP="009A1218">
      <w:pPr>
        <w:pStyle w:val="Standard1"/>
        <w:rPr>
          <w:rFonts w:ascii="Arial" w:hAnsi="Arial"/>
          <w:color w:val="000000"/>
        </w:rPr>
      </w:pPr>
      <w:r>
        <w:rPr>
          <w:rFonts w:ascii="Arial" w:hAnsi="Arial"/>
          <w:color w:val="000000"/>
        </w:rPr>
        <w:t xml:space="preserve">Elni Van Rensburg – +1 830 317 0950 – </w:t>
      </w:r>
      <w:hyperlink r:id="rId11" w:history="1">
        <w:r>
          <w:rPr>
            <w:rStyle w:val="Hyperlink"/>
            <w:rFonts w:ascii="Arial" w:hAnsi="Arial"/>
          </w:rPr>
          <w:t>elni.vanrensburg@miraclon.com</w:t>
        </w:r>
      </w:hyperlink>
      <w:r>
        <w:rPr>
          <w:rFonts w:ascii="Arial" w:hAnsi="Arial"/>
          <w:color w:val="000000"/>
        </w:rPr>
        <w:t xml:space="preserve"> </w:t>
      </w:r>
    </w:p>
    <w:p w14:paraId="60CF989D" w14:textId="4DE8B00B" w:rsidR="009A1218" w:rsidRPr="00EB68A1" w:rsidRDefault="0054188E" w:rsidP="009A1218">
      <w:pPr>
        <w:pStyle w:val="Standard1"/>
        <w:rPr>
          <w:rFonts w:ascii="Arial" w:hAnsi="Arial" w:cs="Arial"/>
          <w:szCs w:val="20"/>
        </w:rPr>
      </w:pPr>
      <w:r w:rsidRPr="0054188E">
        <w:rPr>
          <w:rFonts w:ascii="Arial" w:hAnsi="Arial"/>
          <w:color w:val="000000"/>
        </w:rPr>
        <w:t xml:space="preserve">Aimee Parsons - </w:t>
      </w:r>
      <w:r w:rsidRPr="0054188E">
        <w:rPr>
          <w:rFonts w:ascii="Arial" w:hAnsi="Arial"/>
          <w:color w:val="000000"/>
          <w:lang w:val="es-ES"/>
        </w:rPr>
        <w:t xml:space="preserve">+44 (0)1372 464470 – </w:t>
      </w:r>
      <w:hyperlink r:id="rId12" w:history="1">
        <w:r w:rsidRPr="0054188E">
          <w:rPr>
            <w:rStyle w:val="Hyperlink"/>
            <w:rFonts w:ascii="Arial" w:hAnsi="Arial"/>
            <w:lang w:val="es-ES"/>
          </w:rPr>
          <w:t>aparsons@adcomms.co.uk</w:t>
        </w:r>
      </w:hyperlink>
      <w:r w:rsidR="009A1218">
        <w:rPr>
          <w:rFonts w:ascii="Arial" w:hAnsi="Arial"/>
          <w:color w:val="000000"/>
        </w:rPr>
        <w:br/>
      </w:r>
    </w:p>
    <w:p w14:paraId="171E9C19" w14:textId="0869CBFC" w:rsidR="009A1218" w:rsidRPr="00AB17D0" w:rsidRDefault="004A7CCE" w:rsidP="009A1218">
      <w:pPr>
        <w:pStyle w:val="Standard1"/>
        <w:rPr>
          <w:rFonts w:ascii="Arial" w:hAnsi="Arial" w:cs="Arial"/>
          <w:color w:val="000000"/>
          <w:szCs w:val="20"/>
        </w:rPr>
      </w:pPr>
      <w:r>
        <w:rPr>
          <w:rFonts w:ascii="Arial" w:hAnsi="Arial"/>
          <w:color w:val="000000"/>
        </w:rPr>
        <w:t>1</w:t>
      </w:r>
      <w:r w:rsidR="007B45E9">
        <w:rPr>
          <w:rFonts w:ascii="Arial" w:hAnsi="Arial"/>
          <w:color w:val="000000"/>
        </w:rPr>
        <w:t>8</w:t>
      </w:r>
      <w:r>
        <w:rPr>
          <w:rFonts w:ascii="Arial" w:hAnsi="Arial"/>
          <w:color w:val="000000"/>
        </w:rPr>
        <w:t xml:space="preserve"> de marzo de 2025</w:t>
      </w:r>
    </w:p>
    <w:p w14:paraId="152970CA" w14:textId="77777777" w:rsidR="002B554B" w:rsidRPr="00AB17D0" w:rsidRDefault="002B554B" w:rsidP="009A1218">
      <w:pPr>
        <w:spacing w:after="0" w:line="240" w:lineRule="auto"/>
        <w:rPr>
          <w:rFonts w:ascii="Arial" w:hAnsi="Arial" w:cs="Arial"/>
          <w:lang w:val="en-US"/>
        </w:rPr>
      </w:pPr>
    </w:p>
    <w:p w14:paraId="3341DAC7" w14:textId="77777777" w:rsidR="00BD7E5D" w:rsidRDefault="00BD7E5D" w:rsidP="00AB17D0">
      <w:pPr>
        <w:spacing w:after="0" w:line="360" w:lineRule="auto"/>
        <w:jc w:val="center"/>
        <w:rPr>
          <w:rFonts w:ascii="Arial" w:hAnsi="Arial" w:cs="Arial"/>
          <w:b/>
          <w:sz w:val="26"/>
          <w:szCs w:val="26"/>
          <w:lang w:val="en-US"/>
        </w:rPr>
      </w:pPr>
    </w:p>
    <w:p w14:paraId="1371A644" w14:textId="4A68D861" w:rsidR="00BD7E5D" w:rsidRDefault="0031339B" w:rsidP="00AB17D0">
      <w:pPr>
        <w:spacing w:after="0" w:line="360" w:lineRule="auto"/>
        <w:jc w:val="center"/>
        <w:rPr>
          <w:rFonts w:ascii="Arial" w:hAnsi="Arial" w:cs="Arial"/>
          <w:b/>
          <w:sz w:val="26"/>
          <w:szCs w:val="26"/>
        </w:rPr>
      </w:pPr>
      <w:r>
        <w:rPr>
          <w:rFonts w:ascii="Arial" w:hAnsi="Arial"/>
          <w:b/>
          <w:sz w:val="26"/>
        </w:rPr>
        <w:t xml:space="preserve">Miraclon anuncia los ganadores de los premios anuales Channel Partner Awards </w:t>
      </w:r>
    </w:p>
    <w:p w14:paraId="3B3341B4" w14:textId="249C642B" w:rsidR="001053C0" w:rsidRPr="00BD7E5D" w:rsidRDefault="00AB17D0" w:rsidP="00AB17D0">
      <w:pPr>
        <w:spacing w:after="0" w:line="360" w:lineRule="auto"/>
        <w:jc w:val="center"/>
        <w:rPr>
          <w:rFonts w:ascii="Arial" w:hAnsi="Arial" w:cs="Arial"/>
          <w:i/>
          <w:iCs/>
          <w:color w:val="000000"/>
          <w:sz w:val="24"/>
          <w:szCs w:val="24"/>
          <w:shd w:val="clear" w:color="auto" w:fill="FFFFFF"/>
        </w:rPr>
      </w:pPr>
      <w:r>
        <w:rPr>
          <w:rFonts w:ascii="Arial" w:hAnsi="Arial"/>
          <w:i/>
          <w:sz w:val="24"/>
        </w:rPr>
        <w:t xml:space="preserve">Phoenix Technologies nombrado </w:t>
      </w:r>
      <w:r>
        <w:rPr>
          <w:rFonts w:ascii="Arial" w:hAnsi="Arial"/>
          <w:i/>
          <w:color w:val="000000"/>
          <w:sz w:val="24"/>
          <w:shd w:val="clear" w:color="auto" w:fill="FFFFFF"/>
        </w:rPr>
        <w:t>Ganador Global de 2024</w:t>
      </w:r>
    </w:p>
    <w:p w14:paraId="3486A5DF" w14:textId="77777777" w:rsidR="00E617CA" w:rsidRPr="00AB17D0" w:rsidRDefault="00E617CA" w:rsidP="009D7F4F">
      <w:pPr>
        <w:spacing w:after="0" w:line="240" w:lineRule="auto"/>
        <w:jc w:val="center"/>
        <w:rPr>
          <w:rFonts w:ascii="Arial" w:hAnsi="Arial" w:cs="Arial"/>
          <w:b/>
          <w:bCs/>
          <w:i/>
          <w:color w:val="000000"/>
          <w:sz w:val="20"/>
          <w:szCs w:val="20"/>
          <w:shd w:val="clear" w:color="auto" w:fill="FFFFFF"/>
          <w:lang w:val="en-US"/>
        </w:rPr>
      </w:pPr>
    </w:p>
    <w:p w14:paraId="0DD16A88" w14:textId="77777777" w:rsidR="00335FA5" w:rsidRPr="00AB17D0" w:rsidRDefault="00335FA5" w:rsidP="00A411C1">
      <w:pPr>
        <w:pStyle w:val="Heading1"/>
        <w:spacing w:before="0" w:beforeAutospacing="0" w:after="0" w:afterAutospacing="0"/>
        <w:rPr>
          <w:rFonts w:ascii="Arial" w:hAnsi="Arial" w:cs="Arial"/>
          <w:sz w:val="20"/>
          <w:szCs w:val="20"/>
        </w:rPr>
      </w:pPr>
    </w:p>
    <w:p w14:paraId="26439B18" w14:textId="13E7944C" w:rsidR="008706ED" w:rsidRPr="00AB17D0" w:rsidRDefault="00A411C1" w:rsidP="00AB17D0">
      <w:pPr>
        <w:spacing w:line="360" w:lineRule="auto"/>
        <w:rPr>
          <w:rFonts w:ascii="Arial" w:hAnsi="Arial" w:cs="Arial"/>
        </w:rPr>
      </w:pPr>
      <w:r>
        <w:rPr>
          <w:rFonts w:ascii="Arial" w:hAnsi="Arial"/>
        </w:rPr>
        <w:t xml:space="preserve">Miraclon ha anunciado los ganadores globales y regionales de su programa anual Channel Partner Awards, reconociendo a sus principales distribuidores por sus esfuerzos para impulsar la adopción y el crecimiento de la tecnología FLEXCEL NX y las prácticas flexográficas modernas. </w:t>
      </w:r>
      <w:hyperlink r:id="rId13" w:history="1">
        <w:r w:rsidRPr="007B45E9">
          <w:rPr>
            <w:rStyle w:val="Hyperlink"/>
            <w:rFonts w:ascii="Arial" w:hAnsi="Arial"/>
          </w:rPr>
          <w:t>Phoenix Technologies</w:t>
        </w:r>
      </w:hyperlink>
      <w:r>
        <w:rPr>
          <w:rFonts w:ascii="Arial" w:hAnsi="Arial"/>
        </w:rPr>
        <w:t xml:space="preserve">, con sede en Dubái, fue nombrado ganador del premio Global Channel Partner Award por su excepcional desempeño en ventas e iniciativas de desarrollo de mercado en las áreas comerciales, de marketing y soporte técnico en 2024. </w:t>
      </w:r>
    </w:p>
    <w:p w14:paraId="76EE318B" w14:textId="77777777" w:rsidR="000A0294" w:rsidRPr="00AB17D0" w:rsidRDefault="000A0294" w:rsidP="000A0294">
      <w:pPr>
        <w:spacing w:after="0" w:line="276" w:lineRule="auto"/>
        <w:rPr>
          <w:rFonts w:ascii="Arial" w:eastAsia="Times New Roman" w:hAnsi="Arial" w:cs="Arial"/>
        </w:rPr>
      </w:pPr>
      <w:bookmarkStart w:id="0" w:name="_Hlk129683554"/>
    </w:p>
    <w:p w14:paraId="5A2BA74C" w14:textId="01B4CCA4" w:rsidR="00AB17D0" w:rsidRDefault="000A0294" w:rsidP="000A0294">
      <w:pPr>
        <w:spacing w:after="0" w:line="360" w:lineRule="auto"/>
        <w:rPr>
          <w:rFonts w:ascii="Arial" w:eastAsia="Times New Roman" w:hAnsi="Arial" w:cs="Arial"/>
        </w:rPr>
      </w:pPr>
      <w:r>
        <w:rPr>
          <w:rFonts w:ascii="Arial" w:hAnsi="Arial"/>
        </w:rPr>
        <w:t xml:space="preserve">“Durante los últimos cinco años, Phoenix Technologies ha hecho un esfuerzo considerable para promover los beneficios de la tecnología FLEXCEL NX en toda la cadena de valor de impresión de empaques, al tiempo que ha aumentado la presencia de Miraclon en la región del Golfo”, dijo Grant Blewett, director comercial. “En 2024, estos esfuerzos dieron lugar a otra venta del sistema FLEXCEL NX, mientras que los volúmenes de planchas han crecido por encima de lo previsto a medida que la adopción de las planchas flexográficas, y las planchas FLEXCEL NX en particular, han ganado impulso en la región”. </w:t>
      </w:r>
    </w:p>
    <w:bookmarkEnd w:id="0"/>
    <w:p w14:paraId="031F6B8B" w14:textId="77777777" w:rsidR="000A0294" w:rsidRPr="00AB17D0" w:rsidRDefault="000A0294" w:rsidP="009A1218">
      <w:pPr>
        <w:pStyle w:val="Heading1"/>
        <w:spacing w:before="0" w:beforeAutospacing="0" w:after="0" w:afterAutospacing="0" w:line="360" w:lineRule="auto"/>
        <w:rPr>
          <w:rFonts w:ascii="Arial" w:hAnsi="Arial" w:cs="Arial"/>
          <w:b w:val="0"/>
          <w:sz w:val="22"/>
          <w:szCs w:val="22"/>
        </w:rPr>
      </w:pPr>
    </w:p>
    <w:p w14:paraId="23FDE2B5" w14:textId="5C6B3561" w:rsidR="003D2DF3" w:rsidRPr="00AB17D0" w:rsidRDefault="003D2DF3" w:rsidP="009A1218">
      <w:pPr>
        <w:pStyle w:val="Heading1"/>
        <w:spacing w:before="0" w:beforeAutospacing="0" w:after="0" w:afterAutospacing="0" w:line="360" w:lineRule="auto"/>
        <w:rPr>
          <w:rFonts w:ascii="Arial" w:hAnsi="Arial" w:cs="Arial"/>
          <w:b w:val="0"/>
          <w:sz w:val="22"/>
          <w:szCs w:val="22"/>
        </w:rPr>
      </w:pPr>
      <w:r>
        <w:rPr>
          <w:rFonts w:ascii="Arial" w:hAnsi="Arial"/>
          <w:b w:val="0"/>
          <w:sz w:val="22"/>
        </w:rPr>
        <w:t>Miraclon también anunció a sus principales socios de canal en cada región:</w:t>
      </w:r>
    </w:p>
    <w:p w14:paraId="5C374417" w14:textId="6288F36A" w:rsidR="007B07B1" w:rsidRPr="00AB17D0" w:rsidRDefault="007B07B1" w:rsidP="009A1218">
      <w:pPr>
        <w:pStyle w:val="ListParagraph"/>
        <w:numPr>
          <w:ilvl w:val="0"/>
          <w:numId w:val="7"/>
        </w:numPr>
        <w:spacing w:line="360" w:lineRule="auto"/>
        <w:rPr>
          <w:rStyle w:val="Hyperlink"/>
          <w:rFonts w:ascii="Arial" w:eastAsia="Times New Roman" w:hAnsi="Arial" w:cs="Arial"/>
          <w:bCs/>
          <w:color w:val="auto"/>
          <w:sz w:val="22"/>
          <w:szCs w:val="22"/>
          <w:u w:val="none"/>
        </w:rPr>
      </w:pPr>
      <w:r>
        <w:rPr>
          <w:rFonts w:ascii="Arial" w:hAnsi="Arial"/>
          <w:sz w:val="22"/>
        </w:rPr>
        <w:t xml:space="preserve">Ganador en la región de Asia-Pacífico </w:t>
      </w:r>
      <w:hyperlink r:id="rId14" w:history="1">
        <w:r>
          <w:rPr>
            <w:rStyle w:val="Hyperlink"/>
            <w:rFonts w:ascii="Arial" w:hAnsi="Arial"/>
            <w:sz w:val="22"/>
          </w:rPr>
          <w:t>Kamitani, Japón</w:t>
        </w:r>
      </w:hyperlink>
    </w:p>
    <w:p w14:paraId="0D1E8C8C" w14:textId="39D9D9B6" w:rsidR="00486263" w:rsidRPr="00486263" w:rsidRDefault="007B07B1" w:rsidP="003957D3">
      <w:pPr>
        <w:pStyle w:val="ListParagraph"/>
        <w:numPr>
          <w:ilvl w:val="0"/>
          <w:numId w:val="3"/>
        </w:numPr>
        <w:spacing w:line="360" w:lineRule="auto"/>
        <w:rPr>
          <w:rFonts w:ascii="Arial" w:hAnsi="Arial" w:cs="Arial"/>
          <w:sz w:val="22"/>
          <w:szCs w:val="22"/>
        </w:rPr>
      </w:pPr>
      <w:r>
        <w:rPr>
          <w:rFonts w:ascii="Arial" w:hAnsi="Arial"/>
          <w:sz w:val="22"/>
        </w:rPr>
        <w:t xml:space="preserve">Segundo lugar en la región de Asia-Pacífico: </w:t>
      </w:r>
      <w:hyperlink r:id="rId15" w:history="1">
        <w:r>
          <w:rPr>
            <w:rStyle w:val="Hyperlink"/>
            <w:rFonts w:ascii="Arial" w:hAnsi="Arial"/>
            <w:sz w:val="22"/>
          </w:rPr>
          <w:t>Toàn Ấn Co., Ltd, Vietnam</w:t>
        </w:r>
      </w:hyperlink>
    </w:p>
    <w:p w14:paraId="0CB2A696" w14:textId="0A12C50F" w:rsidR="0058018B" w:rsidRPr="00486263" w:rsidRDefault="0058018B" w:rsidP="003957D3">
      <w:pPr>
        <w:pStyle w:val="ListParagraph"/>
        <w:numPr>
          <w:ilvl w:val="0"/>
          <w:numId w:val="3"/>
        </w:numPr>
        <w:spacing w:line="360" w:lineRule="auto"/>
        <w:rPr>
          <w:rFonts w:ascii="Arial" w:hAnsi="Arial" w:cs="Arial"/>
          <w:sz w:val="22"/>
          <w:szCs w:val="22"/>
        </w:rPr>
      </w:pPr>
      <w:r>
        <w:rPr>
          <w:rFonts w:ascii="Arial" w:hAnsi="Arial"/>
          <w:sz w:val="22"/>
        </w:rPr>
        <w:t xml:space="preserve">Ganador en la región de Europa, África y Medio Oriente: </w:t>
      </w:r>
      <w:hyperlink r:id="rId16" w:history="1">
        <w:r>
          <w:rPr>
            <w:rStyle w:val="Hyperlink"/>
            <w:rFonts w:ascii="Arial" w:hAnsi="Arial"/>
            <w:sz w:val="22"/>
          </w:rPr>
          <w:t>DigiPrint Technologies, Pakistan</w:t>
        </w:r>
      </w:hyperlink>
    </w:p>
    <w:p w14:paraId="509AFDA7" w14:textId="41688909" w:rsidR="00BD7E5D" w:rsidRPr="00BB49B9" w:rsidRDefault="00BD7E5D" w:rsidP="00BD7E5D">
      <w:pPr>
        <w:pStyle w:val="Heading1"/>
        <w:numPr>
          <w:ilvl w:val="0"/>
          <w:numId w:val="3"/>
        </w:numPr>
        <w:spacing w:before="0" w:beforeAutospacing="0" w:after="0" w:afterAutospacing="0" w:line="360" w:lineRule="auto"/>
        <w:rPr>
          <w:rFonts w:ascii="Arial" w:hAnsi="Arial" w:cs="Arial"/>
          <w:b w:val="0"/>
          <w:sz w:val="22"/>
          <w:szCs w:val="22"/>
        </w:rPr>
      </w:pPr>
      <w:r>
        <w:rPr>
          <w:rFonts w:ascii="Arial" w:hAnsi="Arial"/>
          <w:b w:val="0"/>
          <w:sz w:val="22"/>
        </w:rPr>
        <w:t xml:space="preserve">Ganador en la región de América Latina: </w:t>
      </w:r>
      <w:hyperlink r:id="rId17" w:history="1">
        <w:r>
          <w:rPr>
            <w:rStyle w:val="Hyperlink"/>
            <w:rFonts w:ascii="Arial" w:hAnsi="Arial"/>
            <w:b w:val="0"/>
            <w:sz w:val="22"/>
          </w:rPr>
          <w:t>Imagex Color, Perú</w:t>
        </w:r>
      </w:hyperlink>
    </w:p>
    <w:p w14:paraId="2E183799" w14:textId="3C43237A" w:rsidR="0058018B" w:rsidRPr="00EB68A1" w:rsidRDefault="00BD7E5D" w:rsidP="00BD7E5D">
      <w:pPr>
        <w:pStyle w:val="Heading1"/>
        <w:numPr>
          <w:ilvl w:val="0"/>
          <w:numId w:val="3"/>
        </w:numPr>
        <w:spacing w:before="0" w:beforeAutospacing="0" w:after="0" w:afterAutospacing="0" w:line="360" w:lineRule="auto"/>
        <w:rPr>
          <w:rFonts w:ascii="Arial" w:hAnsi="Arial" w:cs="Arial"/>
          <w:b w:val="0"/>
          <w:sz w:val="22"/>
          <w:szCs w:val="22"/>
        </w:rPr>
      </w:pPr>
      <w:r>
        <w:rPr>
          <w:rFonts w:ascii="Arial" w:hAnsi="Arial"/>
          <w:b w:val="0"/>
          <w:sz w:val="22"/>
        </w:rPr>
        <w:t>Segundo lugar en la región de América Latina:</w:t>
      </w:r>
      <w:r>
        <w:t xml:space="preserve"> </w:t>
      </w:r>
      <w:hyperlink r:id="rId18" w:history="1">
        <w:r>
          <w:rPr>
            <w:rStyle w:val="Hyperlink"/>
            <w:rFonts w:ascii="Arial" w:hAnsi="Arial"/>
            <w:b w:val="0"/>
            <w:sz w:val="22"/>
          </w:rPr>
          <w:t>Proveedora Grafica GX, México</w:t>
        </w:r>
      </w:hyperlink>
      <w:r>
        <w:rPr>
          <w:rStyle w:val="Hyperlink"/>
          <w:rFonts w:ascii="Arial" w:hAnsi="Arial"/>
          <w:b w:val="0"/>
          <w:sz w:val="22"/>
        </w:rPr>
        <w:t xml:space="preserve"> </w:t>
      </w:r>
    </w:p>
    <w:p w14:paraId="3CA9932C" w14:textId="557F9746" w:rsidR="008706ED" w:rsidRPr="00EB68A1" w:rsidRDefault="008706ED" w:rsidP="009A1218">
      <w:pPr>
        <w:spacing w:after="0" w:line="360" w:lineRule="auto"/>
        <w:rPr>
          <w:rFonts w:ascii="Arial" w:hAnsi="Arial" w:cs="Arial"/>
          <w:bCs/>
          <w:color w:val="000000"/>
          <w:shd w:val="clear" w:color="auto" w:fill="FFFFFF"/>
          <w:lang w:val="en-US"/>
        </w:rPr>
      </w:pPr>
    </w:p>
    <w:p w14:paraId="034C3963" w14:textId="4DFB3E06" w:rsidR="00C132F2" w:rsidRPr="00C132F2" w:rsidRDefault="00C132F2" w:rsidP="00C132F2">
      <w:pPr>
        <w:spacing w:after="0" w:line="360" w:lineRule="auto"/>
        <w:rPr>
          <w:rFonts w:ascii="Arial" w:hAnsi="Arial" w:cs="Arial"/>
          <w:color w:val="000000"/>
          <w:shd w:val="clear" w:color="auto" w:fill="FFFFFF"/>
        </w:rPr>
      </w:pPr>
      <w:r>
        <w:rPr>
          <w:rFonts w:ascii="Arial" w:hAnsi="Arial"/>
          <w:color w:val="000000"/>
          <w:shd w:val="clear" w:color="auto" w:fill="FFFFFF"/>
        </w:rPr>
        <w:t>“Los enfoques estratégicos de estas empresas en ventas, marketing y soporte técnico son buenos ejemplos de las mejores prácticas comerciales, y se ven subrayados por su éxito en impulsar la adopción de prácticas flexográficas modernas con planchas FLEXCEL NX en toda su región”, agregó Grant. “La dedicación, el desempeño y la inversión de cada socio de canal los convierte en una valiosa extensión del equipo Miraclon”.</w:t>
      </w:r>
    </w:p>
    <w:p w14:paraId="46AAB721" w14:textId="1D06DE18" w:rsidR="00F63E86" w:rsidRPr="00AB17D0" w:rsidRDefault="00F63E86" w:rsidP="001C71A1">
      <w:pPr>
        <w:spacing w:after="0" w:line="360" w:lineRule="auto"/>
        <w:rPr>
          <w:rFonts w:ascii="Arial" w:hAnsi="Arial" w:cs="Arial"/>
          <w:color w:val="000000"/>
          <w:shd w:val="clear" w:color="auto" w:fill="FFFFFF"/>
          <w:lang w:val="en-US"/>
        </w:rPr>
      </w:pPr>
    </w:p>
    <w:p w14:paraId="2B830D52" w14:textId="445EB318" w:rsidR="00BB49B9" w:rsidRPr="00AB17D0" w:rsidRDefault="00BB49B9" w:rsidP="00BB49B9">
      <w:pPr>
        <w:spacing w:after="0" w:line="360" w:lineRule="auto"/>
        <w:jc w:val="center"/>
        <w:rPr>
          <w:rFonts w:ascii="Arial" w:hAnsi="Arial" w:cs="Arial"/>
          <w:color w:val="000000"/>
          <w:shd w:val="clear" w:color="auto" w:fill="FFFFFF"/>
        </w:rPr>
      </w:pPr>
      <w:r>
        <w:rPr>
          <w:rFonts w:ascii="Arial" w:hAnsi="Arial"/>
          <w:color w:val="000000"/>
          <w:shd w:val="clear" w:color="auto" w:fill="FFFFFF"/>
        </w:rPr>
        <w:t>FINES</w:t>
      </w:r>
    </w:p>
    <w:p w14:paraId="56018583" w14:textId="136BE529" w:rsidR="00C61EAC" w:rsidRPr="00AB17D0" w:rsidRDefault="00C61EAC" w:rsidP="00BB49B9">
      <w:pPr>
        <w:spacing w:after="0" w:line="240" w:lineRule="auto"/>
        <w:rPr>
          <w:rFonts w:ascii="Arial" w:hAnsi="Arial" w:cs="Arial"/>
          <w:color w:val="000000"/>
          <w:sz w:val="20"/>
          <w:szCs w:val="20"/>
          <w:highlight w:val="yellow"/>
          <w:shd w:val="clear" w:color="auto" w:fill="FFFFFF"/>
          <w:lang w:val="en-US"/>
        </w:rPr>
      </w:pPr>
    </w:p>
    <w:p w14:paraId="78C8036A" w14:textId="77777777" w:rsidR="004A7CCE" w:rsidRPr="00AB17D0" w:rsidRDefault="004A7CCE" w:rsidP="004A7CCE">
      <w:pPr>
        <w:jc w:val="center"/>
        <w:rPr>
          <w:rFonts w:ascii="Arial" w:hAnsi="Arial" w:cs="Arial"/>
          <w:b/>
          <w:bCs/>
          <w:lang w:val="en-US"/>
        </w:rPr>
      </w:pPr>
    </w:p>
    <w:p w14:paraId="2C37E3AF" w14:textId="77777777" w:rsidR="004A7CCE" w:rsidRPr="00AB17D0" w:rsidRDefault="004A7CCE" w:rsidP="004A7CCE">
      <w:pPr>
        <w:rPr>
          <w:rFonts w:ascii="Arial" w:hAnsi="Arial" w:cs="Arial"/>
          <w:b/>
          <w:szCs w:val="20"/>
        </w:rPr>
      </w:pPr>
      <w:r>
        <w:rPr>
          <w:rFonts w:ascii="Arial" w:hAnsi="Arial"/>
          <w:b/>
        </w:rPr>
        <w:t>Acerca de Miraclon</w:t>
      </w:r>
    </w:p>
    <w:p w14:paraId="772672E2" w14:textId="4446E831" w:rsidR="004A7CCE" w:rsidRPr="00AB17D0" w:rsidRDefault="004A7CCE" w:rsidP="004A7CCE">
      <w:pPr>
        <w:rPr>
          <w:rFonts w:ascii="Arial" w:hAnsi="Arial" w:cs="Arial"/>
          <w:szCs w:val="20"/>
        </w:rPr>
      </w:pPr>
      <w:r>
        <w:rPr>
          <w:rFonts w:ascii="Arial" w:hAnsi="Arial"/>
        </w:rPr>
        <w:t xml:space="preserve">Como Miraclon, tenemos una visión clara: transformar la industria flexográfica en colaboración con nuestros clientes, ofreciendo tecnología y experiencia líderes que les permita lograr sus metas de eficiencia, sostenibilidad y calidad. Nuestras soluciones únicas y totalmente integradas para planchas FLEXCEL eliminan las variables y proporcionan el 100 % de precisión requerido para una transferencia de tinta optimizada: el fundamento de la impresión </w:t>
      </w:r>
      <w:hyperlink r:id="rId19" w:history="1">
        <w:r>
          <w:rPr>
            <w:rStyle w:val="Hyperlink"/>
            <w:rFonts w:ascii="Arial" w:hAnsi="Arial"/>
          </w:rPr>
          <w:t>flexográfica moderna</w:t>
        </w:r>
      </w:hyperlink>
      <w:r>
        <w:rPr>
          <w:rFonts w:ascii="Arial" w:hAnsi="Arial"/>
        </w:rPr>
        <w:t>. Nuestro equipo dedicado ayuda a los clientes a tener éxito comercial al aprovechar el máximo potencial de su inversión en la tecnología de Miraclon. Obtenga más información en</w:t>
      </w:r>
      <w:r>
        <w:rPr>
          <w:rFonts w:ascii="Arial" w:hAnsi="Arial"/>
          <w:u w:val="single"/>
        </w:rPr>
        <w:t xml:space="preserve"> </w:t>
      </w:r>
      <w:hyperlink r:id="rId20" w:history="1">
        <w:r>
          <w:rPr>
            <w:rStyle w:val="Hyperlink"/>
            <w:rFonts w:ascii="Arial" w:hAnsi="Arial"/>
          </w:rPr>
          <w:t>www.miraclon.com</w:t>
        </w:r>
      </w:hyperlink>
      <w:r>
        <w:rPr>
          <w:rFonts w:ascii="Arial" w:hAnsi="Arial"/>
        </w:rPr>
        <w:t xml:space="preserve"> y síganos en </w:t>
      </w:r>
      <w:hyperlink r:id="rId21" w:history="1">
        <w:r>
          <w:rPr>
            <w:rStyle w:val="Hyperlink"/>
            <w:rFonts w:ascii="Arial" w:hAnsi="Arial"/>
          </w:rPr>
          <w:t>LinkedIn</w:t>
        </w:r>
      </w:hyperlink>
      <w:r>
        <w:rPr>
          <w:rFonts w:ascii="Arial" w:hAnsi="Arial"/>
        </w:rPr>
        <w:t xml:space="preserve"> y </w:t>
      </w:r>
      <w:hyperlink r:id="rId22" w:history="1">
        <w:r>
          <w:rPr>
            <w:rStyle w:val="Hyperlink"/>
            <w:rFonts w:ascii="Arial" w:hAnsi="Arial"/>
          </w:rPr>
          <w:t>YouTube</w:t>
        </w:r>
      </w:hyperlink>
      <w:r>
        <w:rPr>
          <w:rFonts w:ascii="Arial" w:hAnsi="Arial"/>
        </w:rPr>
        <w:t xml:space="preserve">. </w:t>
      </w:r>
    </w:p>
    <w:p w14:paraId="19123ECA" w14:textId="77777777" w:rsidR="004A7CCE" w:rsidRPr="00AB17D0" w:rsidRDefault="004A7CCE" w:rsidP="004A7CCE">
      <w:pPr>
        <w:rPr>
          <w:rFonts w:ascii="Arial" w:hAnsi="Arial" w:cs="Arial"/>
          <w:b/>
          <w:bCs/>
          <w:szCs w:val="20"/>
          <w:lang w:val="en-US"/>
        </w:rPr>
      </w:pPr>
    </w:p>
    <w:p w14:paraId="6BFF9A6E" w14:textId="77777777" w:rsidR="004A7CCE" w:rsidRPr="00AB17D0" w:rsidRDefault="004A7CCE" w:rsidP="004A7CCE">
      <w:pPr>
        <w:rPr>
          <w:rFonts w:ascii="Arial" w:hAnsi="Arial" w:cs="Arial"/>
          <w:szCs w:val="20"/>
          <w:lang w:val="en-US"/>
        </w:rPr>
      </w:pPr>
    </w:p>
    <w:p w14:paraId="47D46000" w14:textId="77777777" w:rsidR="004A7CCE" w:rsidRPr="00AB17D0" w:rsidRDefault="004A7CCE" w:rsidP="004A7CCE">
      <w:pPr>
        <w:rPr>
          <w:rFonts w:ascii="Arial" w:hAnsi="Arial" w:cs="Arial"/>
          <w:b/>
          <w:bCs/>
          <w:lang w:val="en-US"/>
        </w:rPr>
      </w:pPr>
    </w:p>
    <w:p w14:paraId="3973CB86" w14:textId="77777777" w:rsidR="004A7CCE" w:rsidRPr="00AB17D0" w:rsidRDefault="004A7CCE" w:rsidP="004A7CCE">
      <w:pPr>
        <w:spacing w:line="360" w:lineRule="auto"/>
        <w:jc w:val="center"/>
        <w:rPr>
          <w:rFonts w:ascii="Arial" w:hAnsi="Arial" w:cs="Arial"/>
          <w:b/>
          <w:bCs/>
          <w:szCs w:val="20"/>
          <w:lang w:val="en-US"/>
        </w:rPr>
      </w:pPr>
    </w:p>
    <w:p w14:paraId="7E3BC528" w14:textId="77777777" w:rsidR="00C61EAC" w:rsidRPr="00AB17D0" w:rsidRDefault="00C61EAC" w:rsidP="004A7CCE">
      <w:pPr>
        <w:spacing w:after="0" w:line="240" w:lineRule="auto"/>
        <w:rPr>
          <w:rFonts w:ascii="Arial" w:hAnsi="Arial" w:cs="Arial"/>
          <w:sz w:val="20"/>
          <w:szCs w:val="20"/>
          <w:highlight w:val="yellow"/>
          <w:lang w:val="en-US"/>
        </w:rPr>
      </w:pPr>
    </w:p>
    <w:sectPr w:rsidR="00C61EAC" w:rsidRPr="00AB17D0" w:rsidSect="00BB49B9">
      <w:footerReference w:type="default" r:id="rId23"/>
      <w:pgSz w:w="12240" w:h="15840" w:code="1"/>
      <w:pgMar w:top="1264" w:right="1620" w:bottom="107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7691" w14:textId="77777777" w:rsidR="00F03677" w:rsidRDefault="00F03677" w:rsidP="00C61EAC">
      <w:pPr>
        <w:spacing w:after="0" w:line="240" w:lineRule="auto"/>
      </w:pPr>
      <w:r>
        <w:separator/>
      </w:r>
    </w:p>
  </w:endnote>
  <w:endnote w:type="continuationSeparator" w:id="0">
    <w:p w14:paraId="4DCF3786" w14:textId="77777777" w:rsidR="00F03677" w:rsidRDefault="00F03677" w:rsidP="00C61EAC">
      <w:pPr>
        <w:spacing w:after="0" w:line="240" w:lineRule="auto"/>
      </w:pPr>
      <w:r>
        <w:continuationSeparator/>
      </w:r>
    </w:p>
  </w:endnote>
  <w:endnote w:type="continuationNotice" w:id="1">
    <w:p w14:paraId="77C66D52" w14:textId="77777777" w:rsidR="00F03677" w:rsidRDefault="00F03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3111" w14:textId="52B7D7F4" w:rsidR="000A5EE0" w:rsidRDefault="00EB5C8F" w:rsidP="000A5EE0">
    <w:pPr>
      <w:pStyle w:val="Footer"/>
      <w:tabs>
        <w:tab w:val="clear" w:pos="4680"/>
        <w:tab w:val="clear" w:pos="9360"/>
        <w:tab w:val="center" w:pos="4536"/>
      </w:tabs>
    </w:pPr>
    <w:r>
      <w:rPr>
        <w:noProof/>
      </w:rPr>
      <w:drawing>
        <wp:anchor distT="0" distB="0" distL="114300" distR="114300" simplePos="0" relativeHeight="251658240" behindDoc="0" locked="0" layoutInCell="1" allowOverlap="1" wp14:anchorId="235AECD3" wp14:editId="6697EF5A">
          <wp:simplePos x="0" y="0"/>
          <wp:positionH relativeFrom="margin">
            <wp:posOffset>5422265</wp:posOffset>
          </wp:positionH>
          <wp:positionV relativeFrom="bottomMargin">
            <wp:posOffset>69850</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p w14:paraId="3AB1F138" w14:textId="3FB30AF3"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E6BEB" w14:textId="77777777" w:rsidR="00F03677" w:rsidRDefault="00F03677" w:rsidP="00C61EAC">
      <w:pPr>
        <w:spacing w:after="0" w:line="240" w:lineRule="auto"/>
      </w:pPr>
      <w:r>
        <w:separator/>
      </w:r>
    </w:p>
  </w:footnote>
  <w:footnote w:type="continuationSeparator" w:id="0">
    <w:p w14:paraId="77CD47E6" w14:textId="77777777" w:rsidR="00F03677" w:rsidRDefault="00F03677" w:rsidP="00C61EAC">
      <w:pPr>
        <w:spacing w:after="0" w:line="240" w:lineRule="auto"/>
      </w:pPr>
      <w:r>
        <w:continuationSeparator/>
      </w:r>
    </w:p>
  </w:footnote>
  <w:footnote w:type="continuationNotice" w:id="1">
    <w:p w14:paraId="1E64B5BF" w14:textId="77777777" w:rsidR="00F03677" w:rsidRDefault="00F036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5983"/>
    <w:multiLevelType w:val="hybridMultilevel"/>
    <w:tmpl w:val="0D944DA6"/>
    <w:lvl w:ilvl="0" w:tplc="64C200B8">
      <w:numFmt w:val="bullet"/>
      <w:lvlText w:val="-"/>
      <w:lvlJc w:val="left"/>
      <w:pPr>
        <w:ind w:left="1080" w:hanging="360"/>
      </w:pPr>
      <w:rPr>
        <w:rFonts w:ascii="Calibri" w:eastAsia="Calibr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AF42981"/>
    <w:multiLevelType w:val="hybridMultilevel"/>
    <w:tmpl w:val="CB9A47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1B17F1A"/>
    <w:multiLevelType w:val="hybridMultilevel"/>
    <w:tmpl w:val="9D1819A4"/>
    <w:lvl w:ilvl="0" w:tplc="1D0827AE">
      <w:start w:val="1"/>
      <w:numFmt w:val="bullet"/>
      <w:lvlText w:val="•"/>
      <w:lvlJc w:val="left"/>
      <w:pPr>
        <w:tabs>
          <w:tab w:val="num" w:pos="720"/>
        </w:tabs>
        <w:ind w:left="720" w:hanging="360"/>
      </w:pPr>
      <w:rPr>
        <w:rFonts w:ascii="Arial" w:hAnsi="Arial" w:hint="default"/>
      </w:rPr>
    </w:lvl>
    <w:lvl w:ilvl="1" w:tplc="B66CE620">
      <w:numFmt w:val="bullet"/>
      <w:lvlText w:val="•"/>
      <w:lvlJc w:val="left"/>
      <w:pPr>
        <w:tabs>
          <w:tab w:val="num" w:pos="1440"/>
        </w:tabs>
        <w:ind w:left="1440" w:hanging="360"/>
      </w:pPr>
      <w:rPr>
        <w:rFonts w:ascii="Arial" w:hAnsi="Arial" w:hint="default"/>
      </w:rPr>
    </w:lvl>
    <w:lvl w:ilvl="2" w:tplc="FA98423E" w:tentative="1">
      <w:start w:val="1"/>
      <w:numFmt w:val="bullet"/>
      <w:lvlText w:val="•"/>
      <w:lvlJc w:val="left"/>
      <w:pPr>
        <w:tabs>
          <w:tab w:val="num" w:pos="2160"/>
        </w:tabs>
        <w:ind w:left="2160" w:hanging="360"/>
      </w:pPr>
      <w:rPr>
        <w:rFonts w:ascii="Arial" w:hAnsi="Arial" w:hint="default"/>
      </w:rPr>
    </w:lvl>
    <w:lvl w:ilvl="3" w:tplc="8ED27F48" w:tentative="1">
      <w:start w:val="1"/>
      <w:numFmt w:val="bullet"/>
      <w:lvlText w:val="•"/>
      <w:lvlJc w:val="left"/>
      <w:pPr>
        <w:tabs>
          <w:tab w:val="num" w:pos="2880"/>
        </w:tabs>
        <w:ind w:left="2880" w:hanging="360"/>
      </w:pPr>
      <w:rPr>
        <w:rFonts w:ascii="Arial" w:hAnsi="Arial" w:hint="default"/>
      </w:rPr>
    </w:lvl>
    <w:lvl w:ilvl="4" w:tplc="76E2563C" w:tentative="1">
      <w:start w:val="1"/>
      <w:numFmt w:val="bullet"/>
      <w:lvlText w:val="•"/>
      <w:lvlJc w:val="left"/>
      <w:pPr>
        <w:tabs>
          <w:tab w:val="num" w:pos="3600"/>
        </w:tabs>
        <w:ind w:left="3600" w:hanging="360"/>
      </w:pPr>
      <w:rPr>
        <w:rFonts w:ascii="Arial" w:hAnsi="Arial" w:hint="default"/>
      </w:rPr>
    </w:lvl>
    <w:lvl w:ilvl="5" w:tplc="9CC23810" w:tentative="1">
      <w:start w:val="1"/>
      <w:numFmt w:val="bullet"/>
      <w:lvlText w:val="•"/>
      <w:lvlJc w:val="left"/>
      <w:pPr>
        <w:tabs>
          <w:tab w:val="num" w:pos="4320"/>
        </w:tabs>
        <w:ind w:left="4320" w:hanging="360"/>
      </w:pPr>
      <w:rPr>
        <w:rFonts w:ascii="Arial" w:hAnsi="Arial" w:hint="default"/>
      </w:rPr>
    </w:lvl>
    <w:lvl w:ilvl="6" w:tplc="09BCD560" w:tentative="1">
      <w:start w:val="1"/>
      <w:numFmt w:val="bullet"/>
      <w:lvlText w:val="•"/>
      <w:lvlJc w:val="left"/>
      <w:pPr>
        <w:tabs>
          <w:tab w:val="num" w:pos="5040"/>
        </w:tabs>
        <w:ind w:left="5040" w:hanging="360"/>
      </w:pPr>
      <w:rPr>
        <w:rFonts w:ascii="Arial" w:hAnsi="Arial" w:hint="default"/>
      </w:rPr>
    </w:lvl>
    <w:lvl w:ilvl="7" w:tplc="7688AB78" w:tentative="1">
      <w:start w:val="1"/>
      <w:numFmt w:val="bullet"/>
      <w:lvlText w:val="•"/>
      <w:lvlJc w:val="left"/>
      <w:pPr>
        <w:tabs>
          <w:tab w:val="num" w:pos="5760"/>
        </w:tabs>
        <w:ind w:left="5760" w:hanging="360"/>
      </w:pPr>
      <w:rPr>
        <w:rFonts w:ascii="Arial" w:hAnsi="Arial" w:hint="default"/>
      </w:rPr>
    </w:lvl>
    <w:lvl w:ilvl="8" w:tplc="B8B0B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603CBB"/>
    <w:multiLevelType w:val="hybridMultilevel"/>
    <w:tmpl w:val="0E2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B6870"/>
    <w:multiLevelType w:val="hybridMultilevel"/>
    <w:tmpl w:val="A6DE18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7E944A1"/>
    <w:multiLevelType w:val="hybridMultilevel"/>
    <w:tmpl w:val="0E4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56263"/>
    <w:multiLevelType w:val="hybridMultilevel"/>
    <w:tmpl w:val="91366DFC"/>
    <w:lvl w:ilvl="0" w:tplc="CC50A3FC">
      <w:start w:val="1"/>
      <w:numFmt w:val="bullet"/>
      <w:lvlText w:val="•"/>
      <w:lvlJc w:val="left"/>
      <w:pPr>
        <w:tabs>
          <w:tab w:val="num" w:pos="720"/>
        </w:tabs>
        <w:ind w:left="720" w:hanging="360"/>
      </w:pPr>
      <w:rPr>
        <w:rFonts w:ascii="Arial" w:hAnsi="Arial" w:hint="default"/>
      </w:rPr>
    </w:lvl>
    <w:lvl w:ilvl="1" w:tplc="9AC4D1AC" w:tentative="1">
      <w:start w:val="1"/>
      <w:numFmt w:val="bullet"/>
      <w:lvlText w:val="•"/>
      <w:lvlJc w:val="left"/>
      <w:pPr>
        <w:tabs>
          <w:tab w:val="num" w:pos="1440"/>
        </w:tabs>
        <w:ind w:left="1440" w:hanging="360"/>
      </w:pPr>
      <w:rPr>
        <w:rFonts w:ascii="Arial" w:hAnsi="Arial" w:hint="default"/>
      </w:rPr>
    </w:lvl>
    <w:lvl w:ilvl="2" w:tplc="6F7E8F66" w:tentative="1">
      <w:start w:val="1"/>
      <w:numFmt w:val="bullet"/>
      <w:lvlText w:val="•"/>
      <w:lvlJc w:val="left"/>
      <w:pPr>
        <w:tabs>
          <w:tab w:val="num" w:pos="2160"/>
        </w:tabs>
        <w:ind w:left="2160" w:hanging="360"/>
      </w:pPr>
      <w:rPr>
        <w:rFonts w:ascii="Arial" w:hAnsi="Arial" w:hint="default"/>
      </w:rPr>
    </w:lvl>
    <w:lvl w:ilvl="3" w:tplc="BD7255A4" w:tentative="1">
      <w:start w:val="1"/>
      <w:numFmt w:val="bullet"/>
      <w:lvlText w:val="•"/>
      <w:lvlJc w:val="left"/>
      <w:pPr>
        <w:tabs>
          <w:tab w:val="num" w:pos="2880"/>
        </w:tabs>
        <w:ind w:left="2880" w:hanging="360"/>
      </w:pPr>
      <w:rPr>
        <w:rFonts w:ascii="Arial" w:hAnsi="Arial" w:hint="default"/>
      </w:rPr>
    </w:lvl>
    <w:lvl w:ilvl="4" w:tplc="D1E26390" w:tentative="1">
      <w:start w:val="1"/>
      <w:numFmt w:val="bullet"/>
      <w:lvlText w:val="•"/>
      <w:lvlJc w:val="left"/>
      <w:pPr>
        <w:tabs>
          <w:tab w:val="num" w:pos="3600"/>
        </w:tabs>
        <w:ind w:left="3600" w:hanging="360"/>
      </w:pPr>
      <w:rPr>
        <w:rFonts w:ascii="Arial" w:hAnsi="Arial" w:hint="default"/>
      </w:rPr>
    </w:lvl>
    <w:lvl w:ilvl="5" w:tplc="EFE0F396" w:tentative="1">
      <w:start w:val="1"/>
      <w:numFmt w:val="bullet"/>
      <w:lvlText w:val="•"/>
      <w:lvlJc w:val="left"/>
      <w:pPr>
        <w:tabs>
          <w:tab w:val="num" w:pos="4320"/>
        </w:tabs>
        <w:ind w:left="4320" w:hanging="360"/>
      </w:pPr>
      <w:rPr>
        <w:rFonts w:ascii="Arial" w:hAnsi="Arial" w:hint="default"/>
      </w:rPr>
    </w:lvl>
    <w:lvl w:ilvl="6" w:tplc="4D10C3F2" w:tentative="1">
      <w:start w:val="1"/>
      <w:numFmt w:val="bullet"/>
      <w:lvlText w:val="•"/>
      <w:lvlJc w:val="left"/>
      <w:pPr>
        <w:tabs>
          <w:tab w:val="num" w:pos="5040"/>
        </w:tabs>
        <w:ind w:left="5040" w:hanging="360"/>
      </w:pPr>
      <w:rPr>
        <w:rFonts w:ascii="Arial" w:hAnsi="Arial" w:hint="default"/>
      </w:rPr>
    </w:lvl>
    <w:lvl w:ilvl="7" w:tplc="D0D8841C" w:tentative="1">
      <w:start w:val="1"/>
      <w:numFmt w:val="bullet"/>
      <w:lvlText w:val="•"/>
      <w:lvlJc w:val="left"/>
      <w:pPr>
        <w:tabs>
          <w:tab w:val="num" w:pos="5760"/>
        </w:tabs>
        <w:ind w:left="5760" w:hanging="360"/>
      </w:pPr>
      <w:rPr>
        <w:rFonts w:ascii="Arial" w:hAnsi="Arial" w:hint="default"/>
      </w:rPr>
    </w:lvl>
    <w:lvl w:ilvl="8" w:tplc="C416F5D2" w:tentative="1">
      <w:start w:val="1"/>
      <w:numFmt w:val="bullet"/>
      <w:lvlText w:val="•"/>
      <w:lvlJc w:val="left"/>
      <w:pPr>
        <w:tabs>
          <w:tab w:val="num" w:pos="6480"/>
        </w:tabs>
        <w:ind w:left="6480" w:hanging="360"/>
      </w:pPr>
      <w:rPr>
        <w:rFonts w:ascii="Arial" w:hAnsi="Arial" w:hint="default"/>
      </w:rPr>
    </w:lvl>
  </w:abstractNum>
  <w:num w:numId="1" w16cid:durableId="186070398">
    <w:abstractNumId w:val="2"/>
  </w:num>
  <w:num w:numId="2" w16cid:durableId="1358581385">
    <w:abstractNumId w:val="6"/>
  </w:num>
  <w:num w:numId="3" w16cid:durableId="1992295762">
    <w:abstractNumId w:val="5"/>
  </w:num>
  <w:num w:numId="4" w16cid:durableId="1447041485">
    <w:abstractNumId w:val="1"/>
  </w:num>
  <w:num w:numId="5" w16cid:durableId="1488397530">
    <w:abstractNumId w:val="4"/>
  </w:num>
  <w:num w:numId="6" w16cid:durableId="357393852">
    <w:abstractNumId w:val="0"/>
  </w:num>
  <w:num w:numId="7" w16cid:durableId="13156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6F"/>
    <w:rsid w:val="00004561"/>
    <w:rsid w:val="00010C21"/>
    <w:rsid w:val="00015299"/>
    <w:rsid w:val="00042585"/>
    <w:rsid w:val="00051A6A"/>
    <w:rsid w:val="00053FF9"/>
    <w:rsid w:val="0005704C"/>
    <w:rsid w:val="000574EC"/>
    <w:rsid w:val="00062C21"/>
    <w:rsid w:val="0006445D"/>
    <w:rsid w:val="000723FE"/>
    <w:rsid w:val="000734D3"/>
    <w:rsid w:val="000816E7"/>
    <w:rsid w:val="00091F4C"/>
    <w:rsid w:val="00097386"/>
    <w:rsid w:val="000A0294"/>
    <w:rsid w:val="000A1AB5"/>
    <w:rsid w:val="000A595C"/>
    <w:rsid w:val="000A5EE0"/>
    <w:rsid w:val="000D4A60"/>
    <w:rsid w:val="000D4DCD"/>
    <w:rsid w:val="000D7F02"/>
    <w:rsid w:val="000E4239"/>
    <w:rsid w:val="000E6D7A"/>
    <w:rsid w:val="000F1F47"/>
    <w:rsid w:val="000F5469"/>
    <w:rsid w:val="000F767A"/>
    <w:rsid w:val="00103D72"/>
    <w:rsid w:val="001053C0"/>
    <w:rsid w:val="00107430"/>
    <w:rsid w:val="00107436"/>
    <w:rsid w:val="001126D9"/>
    <w:rsid w:val="00115950"/>
    <w:rsid w:val="00124104"/>
    <w:rsid w:val="00126605"/>
    <w:rsid w:val="001409CB"/>
    <w:rsid w:val="001424AE"/>
    <w:rsid w:val="001452F7"/>
    <w:rsid w:val="00150996"/>
    <w:rsid w:val="00153CD1"/>
    <w:rsid w:val="00155C93"/>
    <w:rsid w:val="0016647F"/>
    <w:rsid w:val="00173BBC"/>
    <w:rsid w:val="00184D9D"/>
    <w:rsid w:val="001B0115"/>
    <w:rsid w:val="001C71A1"/>
    <w:rsid w:val="001D0F73"/>
    <w:rsid w:val="001E0BF3"/>
    <w:rsid w:val="001E3AEF"/>
    <w:rsid w:val="001F0EA6"/>
    <w:rsid w:val="001F775D"/>
    <w:rsid w:val="00204AAF"/>
    <w:rsid w:val="00206F1D"/>
    <w:rsid w:val="002150F6"/>
    <w:rsid w:val="00227FBC"/>
    <w:rsid w:val="00232DA1"/>
    <w:rsid w:val="00246166"/>
    <w:rsid w:val="00263257"/>
    <w:rsid w:val="00271952"/>
    <w:rsid w:val="002768EE"/>
    <w:rsid w:val="0028023B"/>
    <w:rsid w:val="00283344"/>
    <w:rsid w:val="002A2449"/>
    <w:rsid w:val="002A40F2"/>
    <w:rsid w:val="002A6919"/>
    <w:rsid w:val="002A7973"/>
    <w:rsid w:val="002B2A69"/>
    <w:rsid w:val="002B3FD5"/>
    <w:rsid w:val="002B554B"/>
    <w:rsid w:val="002C1A66"/>
    <w:rsid w:val="002C7015"/>
    <w:rsid w:val="002D333D"/>
    <w:rsid w:val="002D640E"/>
    <w:rsid w:val="002E35B7"/>
    <w:rsid w:val="002E3749"/>
    <w:rsid w:val="002E6FEE"/>
    <w:rsid w:val="002F084F"/>
    <w:rsid w:val="002F262B"/>
    <w:rsid w:val="002F772E"/>
    <w:rsid w:val="0030170A"/>
    <w:rsid w:val="0031339B"/>
    <w:rsid w:val="00322E0F"/>
    <w:rsid w:val="003258D5"/>
    <w:rsid w:val="00325A80"/>
    <w:rsid w:val="003272CC"/>
    <w:rsid w:val="00335FA5"/>
    <w:rsid w:val="003407EC"/>
    <w:rsid w:val="003452E8"/>
    <w:rsid w:val="00347BF3"/>
    <w:rsid w:val="00356656"/>
    <w:rsid w:val="00361BD8"/>
    <w:rsid w:val="00363FC7"/>
    <w:rsid w:val="00367655"/>
    <w:rsid w:val="00367A66"/>
    <w:rsid w:val="00370278"/>
    <w:rsid w:val="00372E1A"/>
    <w:rsid w:val="00374620"/>
    <w:rsid w:val="00375BEB"/>
    <w:rsid w:val="003810E8"/>
    <w:rsid w:val="00381A82"/>
    <w:rsid w:val="00383236"/>
    <w:rsid w:val="00391E20"/>
    <w:rsid w:val="0039474F"/>
    <w:rsid w:val="003962EA"/>
    <w:rsid w:val="003A0A0F"/>
    <w:rsid w:val="003B05DB"/>
    <w:rsid w:val="003B2B7A"/>
    <w:rsid w:val="003B31CD"/>
    <w:rsid w:val="003B5EDA"/>
    <w:rsid w:val="003B606B"/>
    <w:rsid w:val="003B6807"/>
    <w:rsid w:val="003C5C2A"/>
    <w:rsid w:val="003D2DF3"/>
    <w:rsid w:val="003D3D8C"/>
    <w:rsid w:val="003E09B6"/>
    <w:rsid w:val="003E4AD1"/>
    <w:rsid w:val="003E5D3B"/>
    <w:rsid w:val="003F65D0"/>
    <w:rsid w:val="003F66E7"/>
    <w:rsid w:val="003F7D90"/>
    <w:rsid w:val="00407FA4"/>
    <w:rsid w:val="00412F0D"/>
    <w:rsid w:val="00413DE4"/>
    <w:rsid w:val="00432770"/>
    <w:rsid w:val="00433673"/>
    <w:rsid w:val="00446D3C"/>
    <w:rsid w:val="004471AC"/>
    <w:rsid w:val="00454C13"/>
    <w:rsid w:val="00457BB7"/>
    <w:rsid w:val="00460D55"/>
    <w:rsid w:val="00473FC3"/>
    <w:rsid w:val="00475A85"/>
    <w:rsid w:val="00486263"/>
    <w:rsid w:val="00495332"/>
    <w:rsid w:val="004A0459"/>
    <w:rsid w:val="004A2523"/>
    <w:rsid w:val="004A2C18"/>
    <w:rsid w:val="004A5869"/>
    <w:rsid w:val="004A7CCE"/>
    <w:rsid w:val="004B24B2"/>
    <w:rsid w:val="004B5357"/>
    <w:rsid w:val="004C2C6F"/>
    <w:rsid w:val="004D2E19"/>
    <w:rsid w:val="004D3D9E"/>
    <w:rsid w:val="004D3EB0"/>
    <w:rsid w:val="004D432B"/>
    <w:rsid w:val="004F4A6F"/>
    <w:rsid w:val="004F773A"/>
    <w:rsid w:val="005008BF"/>
    <w:rsid w:val="005033EA"/>
    <w:rsid w:val="005035A1"/>
    <w:rsid w:val="00511C82"/>
    <w:rsid w:val="00511CB4"/>
    <w:rsid w:val="00517B66"/>
    <w:rsid w:val="00524AAF"/>
    <w:rsid w:val="00537DF2"/>
    <w:rsid w:val="0054188E"/>
    <w:rsid w:val="00543CF6"/>
    <w:rsid w:val="00547124"/>
    <w:rsid w:val="00555124"/>
    <w:rsid w:val="0056346B"/>
    <w:rsid w:val="0056760F"/>
    <w:rsid w:val="00567F13"/>
    <w:rsid w:val="0058018B"/>
    <w:rsid w:val="0059076B"/>
    <w:rsid w:val="005931BE"/>
    <w:rsid w:val="00594319"/>
    <w:rsid w:val="005A263C"/>
    <w:rsid w:val="005B276D"/>
    <w:rsid w:val="005B6B71"/>
    <w:rsid w:val="005D5537"/>
    <w:rsid w:val="005D58AF"/>
    <w:rsid w:val="005D733D"/>
    <w:rsid w:val="005E08E1"/>
    <w:rsid w:val="005E4254"/>
    <w:rsid w:val="0060485D"/>
    <w:rsid w:val="0060625A"/>
    <w:rsid w:val="0061258C"/>
    <w:rsid w:val="00612DE3"/>
    <w:rsid w:val="00615669"/>
    <w:rsid w:val="00620B2B"/>
    <w:rsid w:val="00636557"/>
    <w:rsid w:val="006627BB"/>
    <w:rsid w:val="00664418"/>
    <w:rsid w:val="00675E67"/>
    <w:rsid w:val="006829F4"/>
    <w:rsid w:val="00682B38"/>
    <w:rsid w:val="00686F74"/>
    <w:rsid w:val="00687283"/>
    <w:rsid w:val="006872FE"/>
    <w:rsid w:val="006947B4"/>
    <w:rsid w:val="006C12F0"/>
    <w:rsid w:val="006D1174"/>
    <w:rsid w:val="006D3556"/>
    <w:rsid w:val="006D53F1"/>
    <w:rsid w:val="006D7FC8"/>
    <w:rsid w:val="006E1DCF"/>
    <w:rsid w:val="006F139C"/>
    <w:rsid w:val="006F1C4D"/>
    <w:rsid w:val="006F6FB2"/>
    <w:rsid w:val="00700C78"/>
    <w:rsid w:val="0072219C"/>
    <w:rsid w:val="00722F0F"/>
    <w:rsid w:val="007324FF"/>
    <w:rsid w:val="00734CA4"/>
    <w:rsid w:val="007351CA"/>
    <w:rsid w:val="007541AC"/>
    <w:rsid w:val="0076346D"/>
    <w:rsid w:val="00765B17"/>
    <w:rsid w:val="00781598"/>
    <w:rsid w:val="00783948"/>
    <w:rsid w:val="0078509B"/>
    <w:rsid w:val="00796A51"/>
    <w:rsid w:val="007A47DE"/>
    <w:rsid w:val="007A552A"/>
    <w:rsid w:val="007B07B1"/>
    <w:rsid w:val="007B45E9"/>
    <w:rsid w:val="007B47D0"/>
    <w:rsid w:val="007B62F5"/>
    <w:rsid w:val="007C3FBE"/>
    <w:rsid w:val="007D4C29"/>
    <w:rsid w:val="007E0F5D"/>
    <w:rsid w:val="007F40F2"/>
    <w:rsid w:val="007F4DCD"/>
    <w:rsid w:val="00802932"/>
    <w:rsid w:val="00802FE2"/>
    <w:rsid w:val="00803055"/>
    <w:rsid w:val="00804DFE"/>
    <w:rsid w:val="00814557"/>
    <w:rsid w:val="00817EBF"/>
    <w:rsid w:val="0082166E"/>
    <w:rsid w:val="00823E89"/>
    <w:rsid w:val="0083432D"/>
    <w:rsid w:val="00853ABA"/>
    <w:rsid w:val="008706ED"/>
    <w:rsid w:val="008728B4"/>
    <w:rsid w:val="00875B2B"/>
    <w:rsid w:val="0088007F"/>
    <w:rsid w:val="008816E3"/>
    <w:rsid w:val="00882964"/>
    <w:rsid w:val="0089111D"/>
    <w:rsid w:val="008A5030"/>
    <w:rsid w:val="008A5A5D"/>
    <w:rsid w:val="008C228C"/>
    <w:rsid w:val="008C445A"/>
    <w:rsid w:val="008C539F"/>
    <w:rsid w:val="008F1965"/>
    <w:rsid w:val="008F3CA8"/>
    <w:rsid w:val="00902FFF"/>
    <w:rsid w:val="009051BE"/>
    <w:rsid w:val="00906969"/>
    <w:rsid w:val="00926EA9"/>
    <w:rsid w:val="00941EBA"/>
    <w:rsid w:val="009446D8"/>
    <w:rsid w:val="00972CA7"/>
    <w:rsid w:val="00974878"/>
    <w:rsid w:val="00982DFE"/>
    <w:rsid w:val="0098348D"/>
    <w:rsid w:val="00985AB7"/>
    <w:rsid w:val="00987B96"/>
    <w:rsid w:val="00991956"/>
    <w:rsid w:val="00992F64"/>
    <w:rsid w:val="00993B04"/>
    <w:rsid w:val="009A1218"/>
    <w:rsid w:val="009A1618"/>
    <w:rsid w:val="009B7C46"/>
    <w:rsid w:val="009C0430"/>
    <w:rsid w:val="009C045E"/>
    <w:rsid w:val="009D02DF"/>
    <w:rsid w:val="009D7F4F"/>
    <w:rsid w:val="009F0314"/>
    <w:rsid w:val="00A013F2"/>
    <w:rsid w:val="00A02ED9"/>
    <w:rsid w:val="00A03B3A"/>
    <w:rsid w:val="00A27A6B"/>
    <w:rsid w:val="00A3564E"/>
    <w:rsid w:val="00A36C06"/>
    <w:rsid w:val="00A411C1"/>
    <w:rsid w:val="00A4749B"/>
    <w:rsid w:val="00A56AFE"/>
    <w:rsid w:val="00A66E08"/>
    <w:rsid w:val="00A678B2"/>
    <w:rsid w:val="00A75320"/>
    <w:rsid w:val="00A81A9D"/>
    <w:rsid w:val="00A8605F"/>
    <w:rsid w:val="00A923D1"/>
    <w:rsid w:val="00AA035B"/>
    <w:rsid w:val="00AA22CF"/>
    <w:rsid w:val="00AA28AD"/>
    <w:rsid w:val="00AB17D0"/>
    <w:rsid w:val="00AB4752"/>
    <w:rsid w:val="00AB4AAB"/>
    <w:rsid w:val="00AD46C0"/>
    <w:rsid w:val="00AE3CE7"/>
    <w:rsid w:val="00AE4CCC"/>
    <w:rsid w:val="00AE57E6"/>
    <w:rsid w:val="00B10342"/>
    <w:rsid w:val="00B164F1"/>
    <w:rsid w:val="00B229D3"/>
    <w:rsid w:val="00B42F62"/>
    <w:rsid w:val="00B5165B"/>
    <w:rsid w:val="00B5213F"/>
    <w:rsid w:val="00B608CB"/>
    <w:rsid w:val="00B6568E"/>
    <w:rsid w:val="00B73CE9"/>
    <w:rsid w:val="00B7459A"/>
    <w:rsid w:val="00B7793E"/>
    <w:rsid w:val="00B82DE0"/>
    <w:rsid w:val="00B852D7"/>
    <w:rsid w:val="00B94CDD"/>
    <w:rsid w:val="00BA3B1A"/>
    <w:rsid w:val="00BA7150"/>
    <w:rsid w:val="00BB39D6"/>
    <w:rsid w:val="00BB49B9"/>
    <w:rsid w:val="00BD7535"/>
    <w:rsid w:val="00BD7E5D"/>
    <w:rsid w:val="00BE3DD7"/>
    <w:rsid w:val="00C050BB"/>
    <w:rsid w:val="00C07AC0"/>
    <w:rsid w:val="00C07B7B"/>
    <w:rsid w:val="00C07E9E"/>
    <w:rsid w:val="00C11144"/>
    <w:rsid w:val="00C132F2"/>
    <w:rsid w:val="00C33F4F"/>
    <w:rsid w:val="00C3479C"/>
    <w:rsid w:val="00C37C57"/>
    <w:rsid w:val="00C4683B"/>
    <w:rsid w:val="00C5693D"/>
    <w:rsid w:val="00C61EAC"/>
    <w:rsid w:val="00C81367"/>
    <w:rsid w:val="00C82910"/>
    <w:rsid w:val="00C87352"/>
    <w:rsid w:val="00C9172B"/>
    <w:rsid w:val="00CB0E6D"/>
    <w:rsid w:val="00CB4D92"/>
    <w:rsid w:val="00CB784A"/>
    <w:rsid w:val="00CC26FB"/>
    <w:rsid w:val="00CC4842"/>
    <w:rsid w:val="00CC55C1"/>
    <w:rsid w:val="00CD0FD6"/>
    <w:rsid w:val="00CD6866"/>
    <w:rsid w:val="00CF0716"/>
    <w:rsid w:val="00CF5F79"/>
    <w:rsid w:val="00D164FC"/>
    <w:rsid w:val="00D16DBA"/>
    <w:rsid w:val="00D17893"/>
    <w:rsid w:val="00D348F0"/>
    <w:rsid w:val="00D470E4"/>
    <w:rsid w:val="00D512FF"/>
    <w:rsid w:val="00D70060"/>
    <w:rsid w:val="00D70809"/>
    <w:rsid w:val="00D73990"/>
    <w:rsid w:val="00D75063"/>
    <w:rsid w:val="00D778B7"/>
    <w:rsid w:val="00D90C87"/>
    <w:rsid w:val="00D91DC5"/>
    <w:rsid w:val="00D957FB"/>
    <w:rsid w:val="00DA12F1"/>
    <w:rsid w:val="00DA6B39"/>
    <w:rsid w:val="00DB1964"/>
    <w:rsid w:val="00DB33AC"/>
    <w:rsid w:val="00DD17DD"/>
    <w:rsid w:val="00DD7782"/>
    <w:rsid w:val="00DE347C"/>
    <w:rsid w:val="00DF272F"/>
    <w:rsid w:val="00E037BA"/>
    <w:rsid w:val="00E063E5"/>
    <w:rsid w:val="00E07546"/>
    <w:rsid w:val="00E1373A"/>
    <w:rsid w:val="00E244F7"/>
    <w:rsid w:val="00E278D4"/>
    <w:rsid w:val="00E40F32"/>
    <w:rsid w:val="00E4249B"/>
    <w:rsid w:val="00E6002A"/>
    <w:rsid w:val="00E615F4"/>
    <w:rsid w:val="00E617CA"/>
    <w:rsid w:val="00E66D0F"/>
    <w:rsid w:val="00E67616"/>
    <w:rsid w:val="00E71504"/>
    <w:rsid w:val="00E73F6D"/>
    <w:rsid w:val="00E85729"/>
    <w:rsid w:val="00E91279"/>
    <w:rsid w:val="00E91B63"/>
    <w:rsid w:val="00E93CB1"/>
    <w:rsid w:val="00EA2CF2"/>
    <w:rsid w:val="00EA349D"/>
    <w:rsid w:val="00EA72D4"/>
    <w:rsid w:val="00EB4D33"/>
    <w:rsid w:val="00EB5C8F"/>
    <w:rsid w:val="00EB5EA0"/>
    <w:rsid w:val="00EB68A1"/>
    <w:rsid w:val="00EC215D"/>
    <w:rsid w:val="00EC35B2"/>
    <w:rsid w:val="00ED259D"/>
    <w:rsid w:val="00ED2DBA"/>
    <w:rsid w:val="00EF08C3"/>
    <w:rsid w:val="00EF1F92"/>
    <w:rsid w:val="00F03677"/>
    <w:rsid w:val="00F050EB"/>
    <w:rsid w:val="00F14C9C"/>
    <w:rsid w:val="00F2029A"/>
    <w:rsid w:val="00F3119E"/>
    <w:rsid w:val="00F332B1"/>
    <w:rsid w:val="00F336B5"/>
    <w:rsid w:val="00F336C4"/>
    <w:rsid w:val="00F35CAB"/>
    <w:rsid w:val="00F375CD"/>
    <w:rsid w:val="00F453C0"/>
    <w:rsid w:val="00F506D9"/>
    <w:rsid w:val="00F60CB8"/>
    <w:rsid w:val="00F63056"/>
    <w:rsid w:val="00F63E86"/>
    <w:rsid w:val="00F650DC"/>
    <w:rsid w:val="00F65570"/>
    <w:rsid w:val="00F90750"/>
    <w:rsid w:val="00F909E4"/>
    <w:rsid w:val="00FA1B78"/>
    <w:rsid w:val="00FB3599"/>
    <w:rsid w:val="00FC551D"/>
    <w:rsid w:val="00FD407C"/>
    <w:rsid w:val="00FD607B"/>
    <w:rsid w:val="00FE5329"/>
    <w:rsid w:val="00FE77CB"/>
    <w:rsid w:val="00FF4372"/>
    <w:rsid w:val="00FF7204"/>
    <w:rsid w:val="00FF7BB0"/>
    <w:rsid w:val="029C70F1"/>
    <w:rsid w:val="5ACAF0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FC34"/>
  <w15:chartTrackingRefBased/>
  <w15:docId w15:val="{DDC86A1D-B0F4-4082-8C89-DEBA3CA7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styleId="UnresolvedMention">
    <w:name w:val="Unresolved Mention"/>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es-MX"/>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es-MX"/>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paragraph" w:styleId="ListParagraph">
    <w:name w:val="List Paragraph"/>
    <w:basedOn w:val="Normal"/>
    <w:uiPriority w:val="34"/>
    <w:qFormat/>
    <w:rsid w:val="001C71A1"/>
    <w:pPr>
      <w:spacing w:after="0" w:line="240" w:lineRule="auto"/>
      <w:ind w:left="720"/>
      <w:contextualSpacing/>
    </w:pPr>
    <w:rPr>
      <w:sz w:val="24"/>
      <w:szCs w:val="24"/>
    </w:rPr>
  </w:style>
  <w:style w:type="paragraph" w:styleId="Revision">
    <w:name w:val="Revision"/>
    <w:hidden/>
    <w:uiPriority w:val="99"/>
    <w:semiHidden/>
    <w:rsid w:val="00537DF2"/>
    <w:pPr>
      <w:spacing w:after="0" w:line="240" w:lineRule="auto"/>
    </w:pPr>
  </w:style>
  <w:style w:type="paragraph" w:customStyle="1" w:styleId="Standard1">
    <w:name w:val="Standard1"/>
    <w:rsid w:val="009A1218"/>
    <w:pPr>
      <w:suppressAutoHyphens/>
      <w:autoSpaceDN w:val="0"/>
      <w:spacing w:after="0" w:line="240" w:lineRule="auto"/>
      <w:textAlignment w:val="baseline"/>
    </w:pPr>
    <w:rPr>
      <w:rFonts w:ascii="Verdana" w:eastAsia="Times New Roman" w:hAnsi="Verdana" w:cs="Times New Roman"/>
      <w:kern w:val="3"/>
      <w:sz w:val="20"/>
      <w:szCs w:val="24"/>
    </w:rPr>
  </w:style>
  <w:style w:type="paragraph" w:customStyle="1" w:styleId="p1">
    <w:name w:val="p1"/>
    <w:basedOn w:val="Standard1"/>
    <w:rsid w:val="009A1218"/>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392125139">
      <w:bodyDiv w:val="1"/>
      <w:marLeft w:val="0"/>
      <w:marRight w:val="0"/>
      <w:marTop w:val="0"/>
      <w:marBottom w:val="0"/>
      <w:divBdr>
        <w:top w:val="none" w:sz="0" w:space="0" w:color="auto"/>
        <w:left w:val="none" w:sz="0" w:space="0" w:color="auto"/>
        <w:bottom w:val="none" w:sz="0" w:space="0" w:color="auto"/>
        <w:right w:val="none" w:sz="0" w:space="0" w:color="auto"/>
      </w:divBdr>
      <w:divsChild>
        <w:div w:id="90471553">
          <w:marLeft w:val="0"/>
          <w:marRight w:val="0"/>
          <w:marTop w:val="0"/>
          <w:marBottom w:val="0"/>
          <w:divBdr>
            <w:top w:val="none" w:sz="0" w:space="0" w:color="auto"/>
            <w:left w:val="none" w:sz="0" w:space="0" w:color="auto"/>
            <w:bottom w:val="none" w:sz="0" w:space="0" w:color="auto"/>
            <w:right w:val="none" w:sz="0" w:space="0" w:color="auto"/>
          </w:divBdr>
        </w:div>
      </w:divsChild>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564612393">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991101155">
      <w:bodyDiv w:val="1"/>
      <w:marLeft w:val="0"/>
      <w:marRight w:val="0"/>
      <w:marTop w:val="0"/>
      <w:marBottom w:val="0"/>
      <w:divBdr>
        <w:top w:val="none" w:sz="0" w:space="0" w:color="auto"/>
        <w:left w:val="none" w:sz="0" w:space="0" w:color="auto"/>
        <w:bottom w:val="none" w:sz="0" w:space="0" w:color="auto"/>
        <w:right w:val="none" w:sz="0" w:space="0" w:color="auto"/>
      </w:divBdr>
      <w:divsChild>
        <w:div w:id="7412199">
          <w:marLeft w:val="1080"/>
          <w:marRight w:val="0"/>
          <w:marTop w:val="100"/>
          <w:marBottom w:val="0"/>
          <w:divBdr>
            <w:top w:val="none" w:sz="0" w:space="0" w:color="auto"/>
            <w:left w:val="none" w:sz="0" w:space="0" w:color="auto"/>
            <w:bottom w:val="none" w:sz="0" w:space="0" w:color="auto"/>
            <w:right w:val="none" w:sz="0" w:space="0" w:color="auto"/>
          </w:divBdr>
        </w:div>
        <w:div w:id="128213277">
          <w:marLeft w:val="360"/>
          <w:marRight w:val="0"/>
          <w:marTop w:val="200"/>
          <w:marBottom w:val="0"/>
          <w:divBdr>
            <w:top w:val="none" w:sz="0" w:space="0" w:color="auto"/>
            <w:left w:val="none" w:sz="0" w:space="0" w:color="auto"/>
            <w:bottom w:val="none" w:sz="0" w:space="0" w:color="auto"/>
            <w:right w:val="none" w:sz="0" w:space="0" w:color="auto"/>
          </w:divBdr>
        </w:div>
        <w:div w:id="1120491090">
          <w:marLeft w:val="360"/>
          <w:marRight w:val="0"/>
          <w:marTop w:val="200"/>
          <w:marBottom w:val="0"/>
          <w:divBdr>
            <w:top w:val="none" w:sz="0" w:space="0" w:color="auto"/>
            <w:left w:val="none" w:sz="0" w:space="0" w:color="auto"/>
            <w:bottom w:val="none" w:sz="0" w:space="0" w:color="auto"/>
            <w:right w:val="none" w:sz="0" w:space="0" w:color="auto"/>
          </w:divBdr>
        </w:div>
        <w:div w:id="1943030566">
          <w:marLeft w:val="1080"/>
          <w:marRight w:val="0"/>
          <w:marTop w:val="100"/>
          <w:marBottom w:val="0"/>
          <w:divBdr>
            <w:top w:val="none" w:sz="0" w:space="0" w:color="auto"/>
            <w:left w:val="none" w:sz="0" w:space="0" w:color="auto"/>
            <w:bottom w:val="none" w:sz="0" w:space="0" w:color="auto"/>
            <w:right w:val="none" w:sz="0" w:space="0" w:color="auto"/>
          </w:divBdr>
        </w:div>
      </w:divsChild>
    </w:div>
    <w:div w:id="1007288945">
      <w:bodyDiv w:val="1"/>
      <w:marLeft w:val="0"/>
      <w:marRight w:val="0"/>
      <w:marTop w:val="0"/>
      <w:marBottom w:val="0"/>
      <w:divBdr>
        <w:top w:val="none" w:sz="0" w:space="0" w:color="auto"/>
        <w:left w:val="none" w:sz="0" w:space="0" w:color="auto"/>
        <w:bottom w:val="none" w:sz="0" w:space="0" w:color="auto"/>
        <w:right w:val="none" w:sz="0" w:space="0" w:color="auto"/>
      </w:divBdr>
      <w:divsChild>
        <w:div w:id="732896349">
          <w:marLeft w:val="0"/>
          <w:marRight w:val="0"/>
          <w:marTop w:val="0"/>
          <w:marBottom w:val="0"/>
          <w:divBdr>
            <w:top w:val="none" w:sz="0" w:space="0" w:color="auto"/>
            <w:left w:val="none" w:sz="0" w:space="0" w:color="auto"/>
            <w:bottom w:val="none" w:sz="0" w:space="0" w:color="auto"/>
            <w:right w:val="none" w:sz="0" w:space="0" w:color="auto"/>
          </w:divBdr>
        </w:div>
      </w:divsChild>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412696040">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19165816">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1805998176">
      <w:bodyDiv w:val="1"/>
      <w:marLeft w:val="0"/>
      <w:marRight w:val="0"/>
      <w:marTop w:val="0"/>
      <w:marBottom w:val="0"/>
      <w:divBdr>
        <w:top w:val="none" w:sz="0" w:space="0" w:color="auto"/>
        <w:left w:val="none" w:sz="0" w:space="0" w:color="auto"/>
        <w:bottom w:val="none" w:sz="0" w:space="0" w:color="auto"/>
        <w:right w:val="none" w:sz="0" w:space="0" w:color="auto"/>
      </w:divBdr>
      <w:divsChild>
        <w:div w:id="1812021712">
          <w:marLeft w:val="0"/>
          <w:marRight w:val="0"/>
          <w:marTop w:val="0"/>
          <w:marBottom w:val="0"/>
          <w:divBdr>
            <w:top w:val="none" w:sz="0" w:space="0" w:color="auto"/>
            <w:left w:val="none" w:sz="0" w:space="0" w:color="auto"/>
            <w:bottom w:val="none" w:sz="0" w:space="0" w:color="auto"/>
            <w:right w:val="none" w:sz="0" w:space="0" w:color="auto"/>
          </w:divBdr>
          <w:divsChild>
            <w:div w:id="66151046">
              <w:marLeft w:val="0"/>
              <w:marRight w:val="0"/>
              <w:marTop w:val="0"/>
              <w:marBottom w:val="0"/>
              <w:divBdr>
                <w:top w:val="none" w:sz="0" w:space="0" w:color="auto"/>
                <w:left w:val="none" w:sz="0" w:space="0" w:color="auto"/>
                <w:bottom w:val="none" w:sz="0" w:space="0" w:color="auto"/>
                <w:right w:val="none" w:sz="0" w:space="0" w:color="auto"/>
              </w:divBdr>
            </w:div>
            <w:div w:id="1193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0426">
      <w:bodyDiv w:val="1"/>
      <w:marLeft w:val="0"/>
      <w:marRight w:val="0"/>
      <w:marTop w:val="0"/>
      <w:marBottom w:val="0"/>
      <w:divBdr>
        <w:top w:val="none" w:sz="0" w:space="0" w:color="auto"/>
        <w:left w:val="none" w:sz="0" w:space="0" w:color="auto"/>
        <w:bottom w:val="none" w:sz="0" w:space="0" w:color="auto"/>
        <w:right w:val="none" w:sz="0" w:space="0" w:color="auto"/>
      </w:divBdr>
      <w:divsChild>
        <w:div w:id="1462573424">
          <w:marLeft w:val="360"/>
          <w:marRight w:val="0"/>
          <w:marTop w:val="200"/>
          <w:marBottom w:val="0"/>
          <w:divBdr>
            <w:top w:val="none" w:sz="0" w:space="0" w:color="auto"/>
            <w:left w:val="none" w:sz="0" w:space="0" w:color="auto"/>
            <w:bottom w:val="none" w:sz="0" w:space="0" w:color="auto"/>
            <w:right w:val="none" w:sz="0" w:space="0" w:color="auto"/>
          </w:divBdr>
        </w:div>
        <w:div w:id="1592659458">
          <w:marLeft w:val="360"/>
          <w:marRight w:val="0"/>
          <w:marTop w:val="200"/>
          <w:marBottom w:val="0"/>
          <w:divBdr>
            <w:top w:val="none" w:sz="0" w:space="0" w:color="auto"/>
            <w:left w:val="none" w:sz="0" w:space="0" w:color="auto"/>
            <w:bottom w:val="none" w:sz="0" w:space="0" w:color="auto"/>
            <w:right w:val="none" w:sz="0" w:space="0" w:color="auto"/>
          </w:divBdr>
        </w:div>
        <w:div w:id="2033876640">
          <w:marLeft w:val="360"/>
          <w:marRight w:val="0"/>
          <w:marTop w:val="200"/>
          <w:marBottom w:val="0"/>
          <w:divBdr>
            <w:top w:val="none" w:sz="0" w:space="0" w:color="auto"/>
            <w:left w:val="none" w:sz="0" w:space="0" w:color="auto"/>
            <w:bottom w:val="none" w:sz="0" w:space="0" w:color="auto"/>
            <w:right w:val="none" w:sz="0" w:space="0" w:color="auto"/>
          </w:divBdr>
        </w:div>
      </w:divsChild>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oenixtecsol.com/" TargetMode="External"/><Relationship Id="rId18" Type="http://schemas.openxmlformats.org/officeDocument/2006/relationships/hyperlink" Target="http://graficagx.com/" TargetMode="External"/><Relationship Id="rId3" Type="http://schemas.openxmlformats.org/officeDocument/2006/relationships/customXml" Target="../customXml/item3.xml"/><Relationship Id="rId21" Type="http://schemas.openxmlformats.org/officeDocument/2006/relationships/hyperlink" Target="https://www.linkedin.com/company/miraclon-corporation/" TargetMode="External"/><Relationship Id="rId7" Type="http://schemas.openxmlformats.org/officeDocument/2006/relationships/webSettings" Target="webSettings.xml"/><Relationship Id="rId12" Type="http://schemas.openxmlformats.org/officeDocument/2006/relationships/hyperlink" Target="mailto:aparsons@adcomms.co.uk" TargetMode="External"/><Relationship Id="rId17" Type="http://schemas.openxmlformats.org/officeDocument/2006/relationships/hyperlink" Target="https://www.imagex.com.p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igiprint-tech.com/" TargetMode="External"/><Relationship Id="rId20" Type="http://schemas.openxmlformats.org/officeDocument/2006/relationships/hyperlink" Target="http://www.miracl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oanan.com.vn/"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miraclon.com/about/modern-flex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mitani-net.co.jp/eng/" TargetMode="External"/><Relationship Id="rId22" Type="http://schemas.openxmlformats.org/officeDocument/2006/relationships/hyperlink" Target="https://www.youtube.com/channel/UCAZGpziB6Lq_Kx8ROgoMd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034DC-4CDD-4366-9FDF-6E486258C820}">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FC8241DA-DE4A-43D4-B252-BB199CE4041E}">
  <ds:schemaRefs>
    <ds:schemaRef ds:uri="http://schemas.microsoft.com/sharepoint/v3/contenttype/forms"/>
  </ds:schemaRefs>
</ds:datastoreItem>
</file>

<file path=customXml/itemProps3.xml><?xml version="1.0" encoding="utf-8"?>
<ds:datastoreItem xmlns:ds="http://schemas.openxmlformats.org/officeDocument/2006/customXml" ds:itemID="{333817C1-0C37-4E97-B2F5-77794FD3A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Links>
    <vt:vector size="48" baseType="variant">
      <vt:variant>
        <vt:i4>4128876</vt:i4>
      </vt:variant>
      <vt:variant>
        <vt:i4>21</vt:i4>
      </vt:variant>
      <vt:variant>
        <vt:i4>0</vt:i4>
      </vt:variant>
      <vt:variant>
        <vt:i4>5</vt:i4>
      </vt:variant>
      <vt:variant>
        <vt:lpwstr>https://www.linkedin.com/company/miraclon-corporation/</vt:lpwstr>
      </vt:variant>
      <vt:variant>
        <vt:lpwstr/>
      </vt:variant>
      <vt:variant>
        <vt:i4>5636180</vt:i4>
      </vt:variant>
      <vt:variant>
        <vt:i4>18</vt:i4>
      </vt:variant>
      <vt:variant>
        <vt:i4>0</vt:i4>
      </vt:variant>
      <vt:variant>
        <vt:i4>5</vt:i4>
      </vt:variant>
      <vt:variant>
        <vt:lpwstr>http://www.miraclon.com/</vt:lpwstr>
      </vt:variant>
      <vt:variant>
        <vt:lpwstr/>
      </vt:variant>
      <vt:variant>
        <vt:i4>5439576</vt:i4>
      </vt:variant>
      <vt:variant>
        <vt:i4>15</vt:i4>
      </vt:variant>
      <vt:variant>
        <vt:i4>0</vt:i4>
      </vt:variant>
      <vt:variant>
        <vt:i4>5</vt:i4>
      </vt:variant>
      <vt:variant>
        <vt:lpwstr>http://graficagx.com/</vt:lpwstr>
      </vt:variant>
      <vt:variant>
        <vt:lpwstr/>
      </vt:variant>
      <vt:variant>
        <vt:i4>1507411</vt:i4>
      </vt:variant>
      <vt:variant>
        <vt:i4>12</vt:i4>
      </vt:variant>
      <vt:variant>
        <vt:i4>0</vt:i4>
      </vt:variant>
      <vt:variant>
        <vt:i4>5</vt:i4>
      </vt:variant>
      <vt:variant>
        <vt:lpwstr>https://maryna-sa.business.site/</vt:lpwstr>
      </vt:variant>
      <vt:variant>
        <vt:lpwstr/>
      </vt:variant>
      <vt:variant>
        <vt:i4>5373971</vt:i4>
      </vt:variant>
      <vt:variant>
        <vt:i4>9</vt:i4>
      </vt:variant>
      <vt:variant>
        <vt:i4>0</vt:i4>
      </vt:variant>
      <vt:variant>
        <vt:i4>5</vt:i4>
      </vt:variant>
      <vt:variant>
        <vt:lpwstr>http://www.dereligraphic.com/</vt:lpwstr>
      </vt:variant>
      <vt:variant>
        <vt:lpwstr/>
      </vt:variant>
      <vt:variant>
        <vt:i4>4522009</vt:i4>
      </vt:variant>
      <vt:variant>
        <vt:i4>6</vt:i4>
      </vt:variant>
      <vt:variant>
        <vt:i4>0</vt:i4>
      </vt:variant>
      <vt:variant>
        <vt:i4>5</vt:i4>
      </vt:variant>
      <vt:variant>
        <vt:lpwstr>https://www.illies.co.th/en/technologies/printing</vt:lpwstr>
      </vt:variant>
      <vt:variant>
        <vt:lpwstr/>
      </vt:variant>
      <vt:variant>
        <vt:i4>3407998</vt:i4>
      </vt:variant>
      <vt:variant>
        <vt:i4>3</vt:i4>
      </vt:variant>
      <vt:variant>
        <vt:i4>0</vt:i4>
      </vt:variant>
      <vt:variant>
        <vt:i4>5</vt:i4>
      </vt:variant>
      <vt:variant>
        <vt:lpwstr>https://kamitani-net.co.jp/eng/</vt:lpwstr>
      </vt:variant>
      <vt:variant>
        <vt:lpwstr/>
      </vt:variant>
      <vt:variant>
        <vt:i4>7208961</vt:i4>
      </vt:variant>
      <vt:variant>
        <vt:i4>0</vt:i4>
      </vt:variant>
      <vt:variant>
        <vt:i4>0</vt:i4>
      </vt:variant>
      <vt:variant>
        <vt:i4>5</vt:i4>
      </vt:variant>
      <vt:variant>
        <vt:lpwstr>mailto:elni.vanrensburg@miraclon.com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Aimee Parsons</cp:lastModifiedBy>
  <cp:revision>3</cp:revision>
  <dcterms:created xsi:type="dcterms:W3CDTF">2025-03-11T14:01:00Z</dcterms:created>
  <dcterms:modified xsi:type="dcterms:W3CDTF">2025-03-18T09:16:00Z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