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5FBF2" w14:textId="3523D162" w:rsidR="00B17D27" w:rsidRPr="000B12CB" w:rsidRDefault="00B17D27" w:rsidP="00B17D27">
      <w:pPr>
        <w:pStyle w:val="p1"/>
        <w:rPr>
          <w:b/>
          <w:sz w:val="20"/>
          <w:szCs w:val="20"/>
        </w:rPr>
      </w:pPr>
      <w:r>
        <w:rPr>
          <w:noProof/>
          <w:sz w:val="20"/>
        </w:rPr>
        <w:drawing>
          <wp:anchor distT="0" distB="0" distL="114300" distR="114300" simplePos="0" relativeHeight="251659264"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Comunicado de prensa</w:t>
      </w:r>
    </w:p>
    <w:p w14:paraId="64DF4D93" w14:textId="77777777" w:rsidR="00B17D27" w:rsidRPr="00061C74" w:rsidRDefault="00B17D27" w:rsidP="00B17D27">
      <w:pPr>
        <w:pStyle w:val="p1"/>
        <w:rPr>
          <w:szCs w:val="20"/>
          <w:lang w:val="es-ES"/>
        </w:rPr>
      </w:pPr>
    </w:p>
    <w:p w14:paraId="65AFF85C" w14:textId="17D1E362" w:rsidR="00B17D27" w:rsidRPr="000B12CB" w:rsidRDefault="00B17D27" w:rsidP="00B17D27">
      <w:pPr>
        <w:pStyle w:val="Standard"/>
        <w:rPr>
          <w:rFonts w:ascii="Arial" w:hAnsi="Arial" w:cs="Arial"/>
          <w:szCs w:val="20"/>
        </w:rPr>
      </w:pPr>
      <w:r>
        <w:rPr>
          <w:rFonts w:ascii="Arial" w:hAnsi="Arial"/>
        </w:rPr>
        <w:t>Contactos de prensa:</w:t>
      </w:r>
    </w:p>
    <w:p w14:paraId="2AD7DA35" w14:textId="77777777" w:rsidR="00B17D27" w:rsidRDefault="00B17D27" w:rsidP="00B17D27">
      <w:pPr>
        <w:pStyle w:val="Standard"/>
        <w:rPr>
          <w:rFonts w:ascii="Arial" w:hAnsi="Arial"/>
          <w:color w:val="000000" w:themeColor="text1"/>
          <w:lang w:val="nl-BE"/>
        </w:rPr>
      </w:pPr>
      <w:r w:rsidRPr="00061C74">
        <w:rPr>
          <w:rFonts w:ascii="Arial" w:hAnsi="Arial"/>
          <w:color w:val="000000" w:themeColor="text1"/>
          <w:lang w:val="nl-BE"/>
        </w:rPr>
        <w:t xml:space="preserve">Elni Van Rensburg – +1 830 317 0950 – </w:t>
      </w:r>
      <w:hyperlink r:id="rId11">
        <w:r w:rsidRPr="00061C74">
          <w:rPr>
            <w:rStyle w:val="Hyperlink"/>
            <w:rFonts w:ascii="Arial" w:hAnsi="Arial"/>
            <w:lang w:val="nl-BE"/>
          </w:rPr>
          <w:t>elni.vanrensburg@miraclon.com</w:t>
        </w:r>
      </w:hyperlink>
      <w:r w:rsidRPr="00061C74">
        <w:rPr>
          <w:rFonts w:ascii="Arial" w:hAnsi="Arial"/>
          <w:color w:val="000000" w:themeColor="text1"/>
          <w:lang w:val="nl-BE"/>
        </w:rPr>
        <w:t xml:space="preserve">  </w:t>
      </w:r>
    </w:p>
    <w:p w14:paraId="4DA5A041" w14:textId="224991D5" w:rsidR="00597857" w:rsidRPr="00597857" w:rsidRDefault="00597857" w:rsidP="00B17D27">
      <w:pPr>
        <w:pStyle w:val="Standard"/>
        <w:rPr>
          <w:rFonts w:ascii="Arial" w:hAnsi="Arial" w:cs="Arial"/>
          <w:color w:val="000000" w:themeColor="text1"/>
          <w:lang w:val="es-ES"/>
        </w:rPr>
      </w:pPr>
      <w:r w:rsidRPr="00597857">
        <w:rPr>
          <w:rFonts w:ascii="Arial" w:hAnsi="Arial" w:cs="Arial"/>
          <w:color w:val="000000" w:themeColor="text1"/>
          <w:lang w:val="fr-FR"/>
        </w:rPr>
        <w:t xml:space="preserve">Aimee Parsons - </w:t>
      </w:r>
      <w:r w:rsidRPr="00597857">
        <w:rPr>
          <w:rFonts w:ascii="Arial" w:hAnsi="Arial" w:cs="Arial"/>
          <w:color w:val="000000" w:themeColor="text1"/>
          <w:lang w:val="es-ES"/>
        </w:rPr>
        <w:t xml:space="preserve">+44 (0)1372 464470 – </w:t>
      </w:r>
      <w:hyperlink r:id="rId12" w:tgtFrame="_blank" w:history="1">
        <w:r w:rsidRPr="00597857">
          <w:rPr>
            <w:rStyle w:val="Hyperlink"/>
            <w:rFonts w:ascii="Arial" w:hAnsi="Arial" w:cs="Arial"/>
            <w:lang w:val="es-ES"/>
          </w:rPr>
          <w:t>miraclonpr@adcomms.co.uk</w:t>
        </w:r>
      </w:hyperlink>
      <w:r w:rsidRPr="00597857">
        <w:rPr>
          <w:rFonts w:ascii="Arial" w:hAnsi="Arial" w:cs="Arial"/>
          <w:color w:val="000000" w:themeColor="text1"/>
          <w:lang w:val="es-ES"/>
        </w:rPr>
        <w:t>  </w:t>
      </w:r>
      <w:r w:rsidRPr="00597857">
        <w:rPr>
          <w:rFonts w:ascii="Arial" w:hAnsi="Arial" w:cs="Arial"/>
          <w:color w:val="000000" w:themeColor="text1"/>
          <w:lang w:val="fr-FR"/>
        </w:rPr>
        <w:t>   </w:t>
      </w:r>
    </w:p>
    <w:p w14:paraId="2C0CE053" w14:textId="77777777" w:rsidR="00B17D27" w:rsidRPr="00061C74" w:rsidRDefault="00B17D27" w:rsidP="00B17D27">
      <w:pPr>
        <w:pStyle w:val="Standard"/>
        <w:rPr>
          <w:rFonts w:ascii="Arial" w:hAnsi="Arial" w:cs="Arial"/>
          <w:color w:val="000000"/>
          <w:szCs w:val="20"/>
          <w:lang w:val="nl-BE"/>
        </w:rPr>
      </w:pPr>
    </w:p>
    <w:p w14:paraId="05069FA8" w14:textId="056F1390" w:rsidR="00B17D27" w:rsidRDefault="00597857" w:rsidP="00B17D27">
      <w:pPr>
        <w:pStyle w:val="Standard"/>
        <w:spacing w:line="259" w:lineRule="auto"/>
        <w:rPr>
          <w:rFonts w:ascii="Arial" w:hAnsi="Arial" w:cs="Arial"/>
          <w:color w:val="000000" w:themeColor="text1"/>
        </w:rPr>
      </w:pPr>
      <w:r>
        <w:rPr>
          <w:rFonts w:ascii="Arial" w:hAnsi="Arial"/>
          <w:color w:val="000000" w:themeColor="text1"/>
        </w:rPr>
        <w:t>22</w:t>
      </w:r>
      <w:r w:rsidR="00BD7B0D">
        <w:rPr>
          <w:rFonts w:ascii="Arial" w:hAnsi="Arial"/>
          <w:color w:val="000000" w:themeColor="text1"/>
        </w:rPr>
        <w:t xml:space="preserve"> de septiembre de 2025</w:t>
      </w:r>
    </w:p>
    <w:p w14:paraId="2970E3A2" w14:textId="77777777" w:rsidR="00DA3274" w:rsidRPr="00B17D27" w:rsidRDefault="00DA3274" w:rsidP="00701214">
      <w:pPr>
        <w:spacing w:line="360" w:lineRule="auto"/>
        <w:rPr>
          <w:rFonts w:ascii="Arial" w:hAnsi="Arial" w:cs="Arial"/>
          <w:b/>
          <w:bCs/>
          <w:sz w:val="22"/>
          <w:szCs w:val="22"/>
        </w:rPr>
      </w:pPr>
    </w:p>
    <w:p w14:paraId="2B3687CD" w14:textId="0311CF30" w:rsidR="00A377D9" w:rsidRPr="00A377D9" w:rsidRDefault="003B43EB" w:rsidP="00A377D9">
      <w:pPr>
        <w:spacing w:line="360" w:lineRule="auto"/>
        <w:jc w:val="center"/>
        <w:rPr>
          <w:rFonts w:ascii="Arial" w:hAnsi="Arial" w:cs="Arial"/>
          <w:b/>
          <w:bCs/>
          <w:sz w:val="26"/>
          <w:szCs w:val="26"/>
        </w:rPr>
      </w:pPr>
      <w:r>
        <w:rPr>
          <w:rFonts w:ascii="Arial" w:hAnsi="Arial"/>
          <w:b/>
          <w:sz w:val="26"/>
        </w:rPr>
        <w:t>La c</w:t>
      </w:r>
      <w:r w:rsidR="00A377D9">
        <w:rPr>
          <w:rFonts w:ascii="Arial" w:hAnsi="Arial"/>
          <w:b/>
          <w:sz w:val="26"/>
        </w:rPr>
        <w:t>olaboración entre Miraclon y SGX valida el desempeño del kit de lámparas Shine LED en planchas flexográficas LAMS</w:t>
      </w:r>
    </w:p>
    <w:p w14:paraId="6604894E" w14:textId="1A3E8C0C" w:rsidR="00A377D9" w:rsidRPr="00A377D9" w:rsidRDefault="00A377D9" w:rsidP="00A377D9">
      <w:pPr>
        <w:spacing w:line="360" w:lineRule="auto"/>
        <w:jc w:val="center"/>
        <w:rPr>
          <w:rFonts w:ascii="Arial" w:hAnsi="Arial" w:cs="Arial"/>
          <w:b/>
          <w:bCs/>
          <w:sz w:val="22"/>
          <w:szCs w:val="22"/>
        </w:rPr>
      </w:pPr>
      <w:r>
        <w:rPr>
          <w:rFonts w:ascii="Arial" w:hAnsi="Arial"/>
          <w:b/>
          <w:i/>
          <w:sz w:val="22"/>
        </w:rPr>
        <w:t>Un nuevo estudio confirma una exposición más rápida, una mayor uniformidad de las planchas y una mejor calidad de impresión en varios tipos de planchas</w:t>
      </w:r>
    </w:p>
    <w:p w14:paraId="20E088DC" w14:textId="57145A43" w:rsidR="00A377D9" w:rsidRPr="00061C74" w:rsidRDefault="00A377D9" w:rsidP="00A377D9">
      <w:pPr>
        <w:spacing w:line="360" w:lineRule="auto"/>
        <w:rPr>
          <w:rFonts w:ascii="Arial" w:hAnsi="Arial" w:cs="Arial"/>
          <w:b/>
          <w:bCs/>
          <w:sz w:val="22"/>
          <w:szCs w:val="22"/>
          <w:lang w:val="es-ES"/>
        </w:rPr>
      </w:pPr>
    </w:p>
    <w:p w14:paraId="79023D13" w14:textId="0CBD2542" w:rsidR="00CD7AEF" w:rsidRDefault="00A377D9" w:rsidP="00A377D9">
      <w:pPr>
        <w:spacing w:line="360" w:lineRule="auto"/>
        <w:rPr>
          <w:rFonts w:ascii="Arial" w:hAnsi="Arial" w:cs="Arial"/>
          <w:bCs/>
          <w:sz w:val="22"/>
          <w:szCs w:val="22"/>
        </w:rPr>
      </w:pPr>
      <w:hyperlink r:id="rId13" w:history="1">
        <w:r>
          <w:rPr>
            <w:rStyle w:val="Hyperlink"/>
            <w:rFonts w:ascii="Arial" w:hAnsi="Arial"/>
            <w:sz w:val="22"/>
          </w:rPr>
          <w:t>Miraclon</w:t>
        </w:r>
      </w:hyperlink>
      <w:r>
        <w:rPr>
          <w:rFonts w:ascii="Arial" w:hAnsi="Arial"/>
          <w:sz w:val="22"/>
        </w:rPr>
        <w:t xml:space="preserve">, en asociación con el trade shop estadounidense SGX, ha concluido un estudio reciente que confirma que el kit de lámparas Shine LED, innovado por Miraclon, produce planchas de alta calidad que proporcionan beneficios mensurables para una gama completa de planchas flexográficas LAMS en comparación con la exposición fluorescente. Los resultados de la colaboración, que incluyó pruebas exhaustivas de cinco tipos distintos de planchas LAMS, se han publicado en un documento técnico que Miraclon tiene a su disposición. </w:t>
      </w:r>
    </w:p>
    <w:p w14:paraId="60D23CA6" w14:textId="77777777" w:rsidR="00D75913" w:rsidRPr="00061C74" w:rsidRDefault="00D75913" w:rsidP="00A377D9">
      <w:pPr>
        <w:spacing w:line="360" w:lineRule="auto"/>
        <w:rPr>
          <w:rFonts w:ascii="Arial" w:hAnsi="Arial" w:cs="Arial"/>
          <w:bCs/>
          <w:sz w:val="22"/>
          <w:szCs w:val="22"/>
          <w:lang w:val="es-ES"/>
        </w:rPr>
      </w:pPr>
    </w:p>
    <w:p w14:paraId="751936D3" w14:textId="56009405" w:rsidR="00A377D9" w:rsidRPr="00A377D9" w:rsidRDefault="00A377D9" w:rsidP="00A377D9">
      <w:pPr>
        <w:spacing w:line="360" w:lineRule="auto"/>
        <w:rPr>
          <w:rFonts w:ascii="Arial" w:hAnsi="Arial" w:cs="Arial"/>
          <w:bCs/>
          <w:sz w:val="22"/>
          <w:szCs w:val="22"/>
        </w:rPr>
      </w:pPr>
      <w:r>
        <w:rPr>
          <w:rFonts w:ascii="Arial" w:hAnsi="Arial"/>
          <w:sz w:val="22"/>
        </w:rPr>
        <w:t>"Muchos fabricantes de planchas han estado preguntando si las lámparas Shine LED podrían ofrecer los beneficios de la exposición LED más allá de las planchas FLEXCEL NX", dijo John Prindl, Director de Soporte Global de Producto de Miraclon. "Este estudio demuestra que estas lámparas no solo funcionan, sino que sobresalen, ofreciendo una exposición más rápida, una mayor uniformidad y una mejor reproducción de los puntos en una amplia gama de planchas LAMS."</w:t>
      </w:r>
    </w:p>
    <w:p w14:paraId="3991092D" w14:textId="77777777" w:rsidR="00261605" w:rsidRPr="00061C74" w:rsidRDefault="00261605" w:rsidP="00A377D9">
      <w:pPr>
        <w:spacing w:line="360" w:lineRule="auto"/>
        <w:rPr>
          <w:rFonts w:ascii="Arial" w:hAnsi="Arial" w:cs="Arial"/>
          <w:b/>
          <w:bCs/>
          <w:sz w:val="22"/>
          <w:szCs w:val="22"/>
          <w:lang w:val="es-ES"/>
        </w:rPr>
      </w:pPr>
    </w:p>
    <w:p w14:paraId="63592AF2" w14:textId="79D57E21" w:rsidR="00A377D9" w:rsidRPr="00A377D9" w:rsidRDefault="00A377D9" w:rsidP="00A377D9">
      <w:pPr>
        <w:spacing w:line="360" w:lineRule="auto"/>
        <w:rPr>
          <w:rFonts w:ascii="Arial" w:hAnsi="Arial" w:cs="Arial"/>
          <w:b/>
          <w:bCs/>
          <w:sz w:val="22"/>
          <w:szCs w:val="22"/>
        </w:rPr>
      </w:pPr>
      <w:r>
        <w:rPr>
          <w:rFonts w:ascii="Arial" w:hAnsi="Arial"/>
          <w:b/>
          <w:sz w:val="22"/>
        </w:rPr>
        <w:t>Resultados probados en diversos tipos de planchas</w:t>
      </w:r>
    </w:p>
    <w:p w14:paraId="6ED16E23" w14:textId="16FF56BE" w:rsidR="00A377D9" w:rsidRPr="00A377D9" w:rsidRDefault="00D75913" w:rsidP="00A377D9">
      <w:pPr>
        <w:spacing w:line="360" w:lineRule="auto"/>
        <w:rPr>
          <w:rFonts w:ascii="Arial" w:hAnsi="Arial" w:cs="Arial"/>
          <w:bCs/>
          <w:sz w:val="22"/>
          <w:szCs w:val="22"/>
        </w:rPr>
      </w:pPr>
      <w:r>
        <w:rPr>
          <w:rFonts w:ascii="Arial" w:hAnsi="Arial"/>
          <w:sz w:val="22"/>
        </w:rPr>
        <w:t>Las planchas flexográficas LAMS que se probaron incluyeron configuraciones de puntos redondos y planos, además de una plancha más gruesa para impresión en cartón corrugado. Utilizando cuatro marcos de exposición idénticos, dos equipados con bombillas fluorescentes tradicionales y dos con lámparas Shine LED, los resultados del estudio demostraron que las lámparas Shine LED ofrecían:</w:t>
      </w:r>
    </w:p>
    <w:p w14:paraId="737B27F4" w14:textId="4D771AEB" w:rsidR="00A377D9" w:rsidRPr="00A377D9" w:rsidRDefault="00A377D9" w:rsidP="00A377D9">
      <w:pPr>
        <w:numPr>
          <w:ilvl w:val="0"/>
          <w:numId w:val="1"/>
        </w:numPr>
        <w:spacing w:line="360" w:lineRule="auto"/>
        <w:rPr>
          <w:rFonts w:ascii="Arial" w:hAnsi="Arial" w:cs="Arial"/>
          <w:bCs/>
          <w:sz w:val="22"/>
          <w:szCs w:val="22"/>
        </w:rPr>
      </w:pPr>
      <w:r>
        <w:rPr>
          <w:rFonts w:ascii="Arial" w:hAnsi="Arial"/>
          <w:sz w:val="22"/>
        </w:rPr>
        <w:t>tiempos de exposición hasta 5 veces más cortos (exposición trasera y principal combinada),</w:t>
      </w:r>
    </w:p>
    <w:p w14:paraId="56B8A391" w14:textId="5C4F9933" w:rsidR="00A377D9" w:rsidRPr="00A377D9" w:rsidRDefault="00A377D9" w:rsidP="00A377D9">
      <w:pPr>
        <w:numPr>
          <w:ilvl w:val="0"/>
          <w:numId w:val="1"/>
        </w:numPr>
        <w:spacing w:line="360" w:lineRule="auto"/>
        <w:rPr>
          <w:rFonts w:ascii="Arial" w:hAnsi="Arial" w:cs="Arial"/>
          <w:sz w:val="22"/>
          <w:szCs w:val="22"/>
        </w:rPr>
      </w:pPr>
      <w:r>
        <w:rPr>
          <w:rFonts w:ascii="Arial" w:hAnsi="Arial"/>
          <w:sz w:val="22"/>
        </w:rPr>
        <w:t xml:space="preserve">2 veces mejor uniformidad de la base de la plancha, </w:t>
      </w:r>
    </w:p>
    <w:p w14:paraId="0467C91F" w14:textId="77777777" w:rsidR="00A377D9" w:rsidRPr="00A377D9" w:rsidRDefault="00A377D9" w:rsidP="00A377D9">
      <w:pPr>
        <w:numPr>
          <w:ilvl w:val="0"/>
          <w:numId w:val="1"/>
        </w:numPr>
        <w:spacing w:line="360" w:lineRule="auto"/>
        <w:rPr>
          <w:rFonts w:ascii="Arial" w:hAnsi="Arial" w:cs="Arial"/>
          <w:bCs/>
          <w:sz w:val="22"/>
          <w:szCs w:val="22"/>
        </w:rPr>
      </w:pPr>
      <w:r>
        <w:rPr>
          <w:rFonts w:ascii="Arial" w:hAnsi="Arial"/>
          <w:sz w:val="22"/>
        </w:rPr>
        <w:lastRenderedPageBreak/>
        <w:t>puntos de luz y transiciones tonales más nítidos y consistentes,</w:t>
      </w:r>
    </w:p>
    <w:p w14:paraId="1C9B5CC4" w14:textId="6363FB6B" w:rsidR="00A377D9" w:rsidRDefault="00A377D9" w:rsidP="00A377D9">
      <w:pPr>
        <w:numPr>
          <w:ilvl w:val="0"/>
          <w:numId w:val="1"/>
        </w:numPr>
        <w:spacing w:line="360" w:lineRule="auto"/>
        <w:rPr>
          <w:rFonts w:ascii="Arial" w:hAnsi="Arial" w:cs="Arial"/>
          <w:bCs/>
          <w:sz w:val="22"/>
          <w:szCs w:val="22"/>
        </w:rPr>
      </w:pPr>
      <w:r>
        <w:rPr>
          <w:rFonts w:ascii="Arial" w:hAnsi="Arial"/>
          <w:sz w:val="22"/>
        </w:rPr>
        <w:t>producción de luz estable, que elimina los problemas de degradación habituales en las bombillas fluorescentes.</w:t>
      </w:r>
    </w:p>
    <w:p w14:paraId="62090AD9" w14:textId="77777777" w:rsidR="0023060B" w:rsidRPr="00061C74" w:rsidRDefault="0023060B" w:rsidP="0023060B">
      <w:pPr>
        <w:spacing w:line="360" w:lineRule="auto"/>
        <w:rPr>
          <w:rFonts w:ascii="Arial" w:hAnsi="Arial" w:cs="Arial"/>
          <w:bCs/>
          <w:sz w:val="22"/>
          <w:szCs w:val="22"/>
          <w:lang w:val="es-ES"/>
        </w:rPr>
      </w:pPr>
    </w:p>
    <w:p w14:paraId="0F428F04" w14:textId="24CA3812" w:rsidR="00A377D9" w:rsidRDefault="004F5713" w:rsidP="00A377D9">
      <w:pPr>
        <w:spacing w:line="360" w:lineRule="auto"/>
        <w:rPr>
          <w:rFonts w:ascii="Arial" w:hAnsi="Arial" w:cs="Arial"/>
          <w:bCs/>
          <w:sz w:val="22"/>
          <w:szCs w:val="22"/>
        </w:rPr>
      </w:pPr>
      <w:r>
        <w:rPr>
          <w:rFonts w:ascii="Arial" w:hAnsi="Arial"/>
          <w:sz w:val="22"/>
        </w:rPr>
        <w:t>Las pruebas de impresión posteriores demostraron que las planchas expuestas con lámparas Shine LED igualaban o superaban la calidad de impresión que ofrecían las planchas expuestas con luz fluorescente. En particular, las planchas de punto redondo mostraron una mejora significativa en la forma y consistencia del punto, un factor clave para obtener reflejos suaves y un control tonal.</w:t>
      </w:r>
    </w:p>
    <w:p w14:paraId="2FB913A6" w14:textId="77777777" w:rsidR="0023060B" w:rsidRPr="00061C74" w:rsidRDefault="0023060B" w:rsidP="00A377D9">
      <w:pPr>
        <w:spacing w:line="360" w:lineRule="auto"/>
        <w:rPr>
          <w:rFonts w:ascii="Arial" w:hAnsi="Arial" w:cs="Arial"/>
          <w:bCs/>
          <w:sz w:val="22"/>
          <w:szCs w:val="22"/>
          <w:lang w:val="es-ES"/>
        </w:rPr>
      </w:pPr>
    </w:p>
    <w:p w14:paraId="19C0E1C8" w14:textId="0FAD4908" w:rsidR="004F5713" w:rsidRDefault="00C776E0" w:rsidP="00A377D9">
      <w:pPr>
        <w:spacing w:line="360" w:lineRule="auto"/>
        <w:rPr>
          <w:rFonts w:ascii="Arial" w:hAnsi="Arial" w:cs="Arial"/>
          <w:bCs/>
          <w:sz w:val="22"/>
          <w:szCs w:val="22"/>
        </w:rPr>
      </w:pPr>
      <w:r>
        <w:rPr>
          <w:rFonts w:ascii="Arial" w:hAnsi="Arial"/>
          <w:sz w:val="22"/>
        </w:rPr>
        <w:t>Rick Best, Vicepresidente de Innovaciones y CI de SGX, comentó:</w:t>
      </w:r>
      <w:r>
        <w:rPr>
          <w:rFonts w:ascii="Arial" w:hAnsi="Arial"/>
          <w:i/>
          <w:sz w:val="22"/>
        </w:rPr>
        <w:t xml:space="preserve"> </w:t>
      </w:r>
      <w:r>
        <w:rPr>
          <w:rFonts w:ascii="Arial" w:hAnsi="Arial"/>
          <w:sz w:val="22"/>
        </w:rPr>
        <w:t xml:space="preserve">"Somos usuarios de FLEXCEL Solutions desde hace mucho tiempo y nos convertimos en uno de los primeros en adoptar las lámparas Shine LED para aprovechar la gran variedad de ventajas que nos ofrecían a nosotros y a nuestros clientes. Como proveedor de servicios completos de preprensa, utilizamos una gran variedad de planchas flexográficas, por lo que queríamos asegurarnos de que las lámparas Shine LED producen resultados óptimos en toda nuestra cartera de servicios. En estrecha colaboración con Miraclon, hemos podido confirmar que sí. Esto convierte al kit de lámparas Shine LED en una atractiva opción de actualización para todos los fabricantes de planchas flexográficas que utilizan sistemas de exposición fluorescentes".  </w:t>
      </w:r>
    </w:p>
    <w:p w14:paraId="42D99932" w14:textId="77777777" w:rsidR="004F5713" w:rsidRPr="00061C74" w:rsidRDefault="004F5713" w:rsidP="00A377D9">
      <w:pPr>
        <w:spacing w:line="360" w:lineRule="auto"/>
        <w:rPr>
          <w:rFonts w:ascii="Arial" w:hAnsi="Arial" w:cs="Arial"/>
          <w:bCs/>
          <w:sz w:val="22"/>
          <w:szCs w:val="22"/>
          <w:lang w:val="es-ES"/>
        </w:rPr>
      </w:pPr>
    </w:p>
    <w:p w14:paraId="49C1ADA1" w14:textId="0E427832" w:rsidR="00194CE9" w:rsidRDefault="00194CE9" w:rsidP="00194CE9">
      <w:pPr>
        <w:spacing w:line="360" w:lineRule="auto"/>
        <w:rPr>
          <w:rFonts w:ascii="Arial" w:hAnsi="Arial" w:cs="Arial"/>
          <w:b/>
          <w:bCs/>
          <w:sz w:val="22"/>
          <w:szCs w:val="22"/>
        </w:rPr>
      </w:pPr>
      <w:r>
        <w:rPr>
          <w:rFonts w:ascii="Arial" w:hAnsi="Arial"/>
          <w:b/>
          <w:sz w:val="22"/>
        </w:rPr>
        <w:t>Los beneficios del galardonado kit de lámparas Shine LED ofrecen un retorno real de la inversión</w:t>
      </w:r>
    </w:p>
    <w:p w14:paraId="3A58A5A8" w14:textId="51B074E0" w:rsidR="00A377D9" w:rsidRDefault="00A377D9" w:rsidP="00A377D9">
      <w:pPr>
        <w:spacing w:line="360" w:lineRule="auto"/>
        <w:rPr>
          <w:rFonts w:ascii="Arial" w:hAnsi="Arial" w:cs="Arial"/>
          <w:bCs/>
          <w:sz w:val="22"/>
          <w:szCs w:val="22"/>
        </w:rPr>
      </w:pPr>
      <w:r>
        <w:rPr>
          <w:rFonts w:ascii="Arial" w:hAnsi="Arial"/>
          <w:sz w:val="22"/>
        </w:rPr>
        <w:t>A diferencia de las bombillas fluorescentes que se degradan con el tiempo, lo que provoca una exposición irregular y su reemplazo eventual, las lámparas Shine LED proporcionan una producción de UV consistente, lo que reduce el desperdicio, el tiempo fuera de servicio y el reprocesamiento de planchas. El kit de lámparas se instala fácilmente en los marcos de exposición fluorescente existentes, lo que supone una actualización de bajo costo tanto para los trade shops como para los impresores de empaques, y puede instalarse en el campo en pocas horas.</w:t>
      </w:r>
    </w:p>
    <w:p w14:paraId="235F97D9" w14:textId="77777777" w:rsidR="00194CE9" w:rsidRPr="00061C74" w:rsidRDefault="00194CE9" w:rsidP="00A377D9">
      <w:pPr>
        <w:spacing w:line="360" w:lineRule="auto"/>
        <w:rPr>
          <w:rFonts w:ascii="Arial" w:hAnsi="Arial" w:cs="Arial"/>
          <w:bCs/>
          <w:sz w:val="22"/>
          <w:szCs w:val="22"/>
          <w:lang w:val="es-ES"/>
        </w:rPr>
      </w:pPr>
    </w:p>
    <w:p w14:paraId="2F6D24AB" w14:textId="2B144B6A" w:rsidR="0023060B" w:rsidRDefault="00194CE9" w:rsidP="00A377D9">
      <w:pPr>
        <w:spacing w:line="360" w:lineRule="auto"/>
        <w:rPr>
          <w:rFonts w:ascii="Arial" w:hAnsi="Arial" w:cs="Arial"/>
          <w:b/>
          <w:bCs/>
          <w:sz w:val="22"/>
          <w:szCs w:val="22"/>
        </w:rPr>
      </w:pPr>
      <w:r>
        <w:rPr>
          <w:rFonts w:ascii="Arial" w:hAnsi="Arial"/>
          <w:sz w:val="22"/>
        </w:rPr>
        <w:t>Por una fracción del costo de una nueva unidad de exposición LED, los usuarios se benefician de una intensidad consistente y predecible a lo largo de una vida útil mucho más larga (más de 5000 horas comparadas con las 800 horas de los tubos fluorescentes) exposiciones más rápidas y mejor desempeño de sostenibilidad.</w:t>
      </w:r>
    </w:p>
    <w:p w14:paraId="48BE5B4E" w14:textId="77777777" w:rsidR="00194CE9" w:rsidRDefault="00194CE9" w:rsidP="00194CE9">
      <w:pPr>
        <w:spacing w:line="360" w:lineRule="auto"/>
        <w:rPr>
          <w:rFonts w:ascii="Arial" w:hAnsi="Arial" w:cs="Arial"/>
          <w:sz w:val="22"/>
          <w:szCs w:val="22"/>
        </w:rPr>
      </w:pPr>
    </w:p>
    <w:p w14:paraId="495F3C05" w14:textId="4ED1267D" w:rsidR="00194CE9" w:rsidRDefault="00194CE9" w:rsidP="00194CE9">
      <w:pPr>
        <w:spacing w:line="360" w:lineRule="auto"/>
        <w:rPr>
          <w:rFonts w:ascii="Arial" w:hAnsi="Arial" w:cs="Arial"/>
          <w:sz w:val="22"/>
          <w:szCs w:val="22"/>
        </w:rPr>
      </w:pPr>
      <w:r>
        <w:rPr>
          <w:rFonts w:ascii="Arial" w:hAnsi="Arial"/>
          <w:sz w:val="22"/>
        </w:rPr>
        <w:t>Estas características le valieron al kit de lámparas Shine LED dos reconocimientos únicos en los Premios FTA a la Excelencia en Flexografía de 2024 en Norteamérica, ganando los principales premios tanto por Sostenibilidad como por Innovación Técnica, además del premio a la Tecnología de Sostenibilidad de la FTA de Alemania (DFTA).</w:t>
      </w:r>
    </w:p>
    <w:p w14:paraId="576A4A70" w14:textId="77777777" w:rsidR="0023060B" w:rsidRPr="00061C74" w:rsidRDefault="0023060B" w:rsidP="00A377D9">
      <w:pPr>
        <w:spacing w:line="360" w:lineRule="auto"/>
        <w:rPr>
          <w:rFonts w:ascii="Arial" w:hAnsi="Arial" w:cs="Arial"/>
          <w:bCs/>
          <w:sz w:val="22"/>
          <w:szCs w:val="22"/>
          <w:lang w:val="es-ES"/>
        </w:rPr>
      </w:pPr>
    </w:p>
    <w:p w14:paraId="00518F6A" w14:textId="77777777" w:rsidR="0023060B" w:rsidRPr="00194CE9" w:rsidRDefault="0023060B" w:rsidP="00A377D9">
      <w:pPr>
        <w:spacing w:line="360" w:lineRule="auto"/>
        <w:rPr>
          <w:rFonts w:ascii="Arial" w:hAnsi="Arial" w:cs="Arial"/>
          <w:bCs/>
          <w:i/>
          <w:iCs/>
          <w:sz w:val="22"/>
          <w:szCs w:val="22"/>
        </w:rPr>
      </w:pPr>
      <w:r>
        <w:rPr>
          <w:rFonts w:ascii="Arial" w:hAnsi="Arial"/>
          <w:i/>
          <w:sz w:val="22"/>
        </w:rPr>
        <w:t xml:space="preserve">Invitamos a los fabricantes de planchas que estén pensando en actualizar sus sistemas de exposición fluorescente a que se pongan en contacto con Miraclon para obtener el documento técnico completo. </w:t>
      </w:r>
    </w:p>
    <w:p w14:paraId="4903FCB7" w14:textId="77777777" w:rsidR="0023060B" w:rsidRPr="00061C74" w:rsidRDefault="0023060B" w:rsidP="00A377D9">
      <w:pPr>
        <w:spacing w:line="360" w:lineRule="auto"/>
        <w:rPr>
          <w:rFonts w:ascii="Arial" w:hAnsi="Arial" w:cs="Arial"/>
          <w:bCs/>
          <w:sz w:val="22"/>
          <w:szCs w:val="22"/>
          <w:lang w:val="es-ES"/>
        </w:rPr>
      </w:pPr>
    </w:p>
    <w:p w14:paraId="05ACEE15" w14:textId="0098EED9" w:rsidR="002F16BB" w:rsidRDefault="0023060B" w:rsidP="00317CCD">
      <w:pPr>
        <w:spacing w:line="360" w:lineRule="auto"/>
        <w:jc w:val="center"/>
        <w:rPr>
          <w:rFonts w:ascii="Arial" w:hAnsi="Arial" w:cs="Arial"/>
          <w:b/>
          <w:bCs/>
          <w:szCs w:val="20"/>
        </w:rPr>
      </w:pPr>
      <w:r>
        <w:rPr>
          <w:rFonts w:ascii="Arial" w:hAnsi="Arial"/>
          <w:b/>
        </w:rPr>
        <w:t>FIN</w:t>
      </w:r>
    </w:p>
    <w:p w14:paraId="21ECA665" w14:textId="77777777" w:rsidR="0023060B" w:rsidRDefault="0023060B" w:rsidP="00317CCD">
      <w:pPr>
        <w:spacing w:line="360" w:lineRule="auto"/>
        <w:jc w:val="center"/>
        <w:rPr>
          <w:rFonts w:ascii="Arial" w:hAnsi="Arial" w:cs="Arial"/>
          <w:b/>
          <w:bCs/>
          <w:szCs w:val="20"/>
        </w:rPr>
      </w:pPr>
    </w:p>
    <w:p w14:paraId="66557286" w14:textId="77777777" w:rsidR="00A2597B" w:rsidRPr="00FD396F" w:rsidRDefault="00A2597B" w:rsidP="00A2597B">
      <w:pPr>
        <w:rPr>
          <w:rFonts w:ascii="Arial" w:hAnsi="Arial" w:cs="Arial"/>
          <w:b/>
          <w:szCs w:val="20"/>
        </w:rPr>
      </w:pPr>
      <w:r>
        <w:rPr>
          <w:rFonts w:ascii="Arial" w:hAnsi="Arial"/>
          <w:b/>
        </w:rPr>
        <w:t>Acerca de Miraclon</w:t>
      </w:r>
    </w:p>
    <w:p w14:paraId="77176E05" w14:textId="77777777" w:rsidR="00A2597B" w:rsidRPr="00FD396F" w:rsidRDefault="00A2597B" w:rsidP="00A2597B">
      <w:pPr>
        <w:rPr>
          <w:rFonts w:ascii="Arial" w:hAnsi="Arial" w:cs="Arial"/>
          <w:szCs w:val="20"/>
        </w:rPr>
      </w:pPr>
      <w:r>
        <w:rPr>
          <w:rFonts w:ascii="Arial" w:hAnsi="Arial"/>
        </w:rPr>
        <w:t xml:space="preserve">En Miraclon tenemos una visión clara: transformar la industria flexográfica en colaboración con nuestros clientes, ofreciendo tecnología y experiencia líderes que les permitan lograr sus metas de eficiencia, sostenibilidad y calidad. Nuestras soluciones únicas y totalmente integradas con planchas FLEXCEL eliminan las variables de producción y proporcionan el 100 % de precisión requerido para una transferencia de tinta optimizada: el fundamento de la impresión </w:t>
      </w:r>
      <w:hyperlink r:id="rId14" w:history="1">
        <w:r>
          <w:rPr>
            <w:rStyle w:val="Hyperlink"/>
            <w:rFonts w:ascii="Arial" w:hAnsi="Arial"/>
          </w:rPr>
          <w:t>flexográfica moderna</w:t>
        </w:r>
      </w:hyperlink>
      <w:r>
        <w:rPr>
          <w:rFonts w:ascii="Arial" w:hAnsi="Arial"/>
        </w:rPr>
        <w:t>. Nuestro equipo dedicado ayuda a los clientes a alcanzar el éxito comercial al aprovechar el máximo potencial de su inversión en la tecnología de Miraclon. Obtenga más información en</w:t>
      </w:r>
      <w:r>
        <w:rPr>
          <w:rFonts w:ascii="Arial" w:hAnsi="Arial"/>
          <w:u w:val="single"/>
        </w:rPr>
        <w:t xml:space="preserve"> </w:t>
      </w:r>
      <w:hyperlink r:id="rId15" w:history="1">
        <w:r>
          <w:rPr>
            <w:rStyle w:val="Hyperlink"/>
            <w:rFonts w:ascii="Arial" w:hAnsi="Arial"/>
          </w:rPr>
          <w:t>www.miraclon.com</w:t>
        </w:r>
      </w:hyperlink>
      <w:r>
        <w:rPr>
          <w:rFonts w:ascii="Arial" w:hAnsi="Arial"/>
        </w:rPr>
        <w:t xml:space="preserve"> y síganos en </w:t>
      </w:r>
      <w:hyperlink r:id="rId16" w:history="1">
        <w:r>
          <w:rPr>
            <w:rStyle w:val="Hyperlink"/>
            <w:rFonts w:ascii="Arial" w:hAnsi="Arial"/>
          </w:rPr>
          <w:t>LinkedIn</w:t>
        </w:r>
      </w:hyperlink>
      <w:r>
        <w:rPr>
          <w:rFonts w:ascii="Arial" w:hAnsi="Arial"/>
        </w:rPr>
        <w:t xml:space="preserve"> y </w:t>
      </w:r>
      <w:hyperlink r:id="rId17" w:history="1">
        <w:r>
          <w:rPr>
            <w:rStyle w:val="Hyperlink"/>
            <w:rFonts w:ascii="Arial" w:hAnsi="Arial"/>
          </w:rPr>
          <w:t>YouTube</w:t>
        </w:r>
      </w:hyperlink>
      <w:r>
        <w:rPr>
          <w:rFonts w:ascii="Arial" w:hAnsi="Arial"/>
        </w:rPr>
        <w:t xml:space="preserve">. </w:t>
      </w:r>
    </w:p>
    <w:p w14:paraId="58E4B2DF" w14:textId="77777777" w:rsidR="00A2597B" w:rsidRPr="00FD396F" w:rsidRDefault="00A2597B" w:rsidP="00A2597B">
      <w:pPr>
        <w:rPr>
          <w:rFonts w:ascii="Arial" w:hAnsi="Arial" w:cs="Arial"/>
          <w:b/>
          <w:bCs/>
          <w:szCs w:val="20"/>
        </w:rPr>
      </w:pPr>
    </w:p>
    <w:p w14:paraId="58AEF4FE" w14:textId="77777777" w:rsidR="00A2597B" w:rsidRPr="00061C74" w:rsidRDefault="00A2597B" w:rsidP="00A2597B">
      <w:pPr>
        <w:rPr>
          <w:rFonts w:ascii="Arial" w:hAnsi="Arial" w:cs="Arial"/>
          <w:szCs w:val="20"/>
          <w:lang w:val="es-ES"/>
        </w:rPr>
      </w:pPr>
    </w:p>
    <w:p w14:paraId="30C78358" w14:textId="2B67D0EC" w:rsidR="00B17D27" w:rsidRPr="00441AF4" w:rsidRDefault="00620675" w:rsidP="00A2597B">
      <w:pPr>
        <w:rPr>
          <w:rFonts w:ascii="Arial" w:hAnsi="Arial" w:cs="Arial"/>
          <w:b/>
          <w:bCs/>
          <w:szCs w:val="20"/>
        </w:rPr>
      </w:pPr>
      <w:r>
        <w:rPr>
          <w:rFonts w:ascii="Arial" w:hAnsi="Arial"/>
          <w:b/>
        </w:rPr>
        <w:t>Acerca de SGX</w:t>
      </w:r>
    </w:p>
    <w:p w14:paraId="3CD10CEF" w14:textId="17412BC2" w:rsidR="00620675" w:rsidRPr="000B4FFB" w:rsidRDefault="000B4FFB" w:rsidP="00A2597B">
      <w:pPr>
        <w:rPr>
          <w:rFonts w:ascii="Arial" w:hAnsi="Arial" w:cs="Arial"/>
          <w:szCs w:val="20"/>
        </w:rPr>
      </w:pPr>
      <w:r>
        <w:rPr>
          <w:rFonts w:ascii="Arial" w:hAnsi="Arial"/>
        </w:rPr>
        <w:t xml:space="preserve">Con más de 150 años de experiencia líder en la industria, las empresas SGS &amp; Co y SGK se unen para formar SGX, una fuerza poderosa en la producción de empaques innovadores. Basándose en el legado de un servicio confiable desde 1947 y 1953, SGX ofrecerá a los propietarios de marcas, minoristas e impresores toda la gama de servicios gráficos para empaques, producción de planchas y cilindros y acabado metalizado, centrándose en reducir la complejidad, ofrecer una ejecución impecable en el mercado y aprovechar el alcance global para impulsar la consistencia y el impacto a escala. </w:t>
      </w:r>
    </w:p>
    <w:sectPr w:rsidR="00620675" w:rsidRPr="000B4FFB" w:rsidSect="004D3EFA">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99D32" w14:textId="77777777" w:rsidR="00447CBF" w:rsidRDefault="00447CBF" w:rsidP="00B17D27">
      <w:r>
        <w:separator/>
      </w:r>
    </w:p>
  </w:endnote>
  <w:endnote w:type="continuationSeparator" w:id="0">
    <w:p w14:paraId="186DE64B" w14:textId="77777777" w:rsidR="00447CBF" w:rsidRDefault="00447CBF" w:rsidP="00B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855C" w14:textId="73FFF11B" w:rsidR="00B17D27" w:rsidRDefault="00B17D27" w:rsidP="00B17D27">
    <w:pPr>
      <w:pStyle w:val="Footer"/>
      <w:tabs>
        <w:tab w:val="clear" w:pos="9360"/>
      </w:tabs>
    </w:pPr>
    <w:r>
      <w:rPr>
        <w:noProof/>
      </w:rPr>
      <w:drawing>
        <wp:anchor distT="0" distB="0" distL="114300" distR="114300" simplePos="0" relativeHeight="251661312"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432A1" w14:textId="77777777" w:rsidR="00447CBF" w:rsidRDefault="00447CBF" w:rsidP="00B17D27">
      <w:r>
        <w:separator/>
      </w:r>
    </w:p>
  </w:footnote>
  <w:footnote w:type="continuationSeparator" w:id="0">
    <w:p w14:paraId="52DC6689" w14:textId="77777777" w:rsidR="00447CBF" w:rsidRDefault="00447CBF" w:rsidP="00B1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0963"/>
    <w:multiLevelType w:val="multilevel"/>
    <w:tmpl w:val="90C0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3164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10C38"/>
    <w:rsid w:val="00037828"/>
    <w:rsid w:val="00040CA8"/>
    <w:rsid w:val="00042FD2"/>
    <w:rsid w:val="00043C8E"/>
    <w:rsid w:val="00052943"/>
    <w:rsid w:val="00055568"/>
    <w:rsid w:val="00061C74"/>
    <w:rsid w:val="000712DE"/>
    <w:rsid w:val="00076E9F"/>
    <w:rsid w:val="000A25BE"/>
    <w:rsid w:val="000B12CB"/>
    <w:rsid w:val="000B4FFB"/>
    <w:rsid w:val="000C0C49"/>
    <w:rsid w:val="000C6913"/>
    <w:rsid w:val="000E104A"/>
    <w:rsid w:val="000E274F"/>
    <w:rsid w:val="000F2690"/>
    <w:rsid w:val="0010243D"/>
    <w:rsid w:val="00115CE2"/>
    <w:rsid w:val="0011647B"/>
    <w:rsid w:val="001245E6"/>
    <w:rsid w:val="001247E5"/>
    <w:rsid w:val="00134F87"/>
    <w:rsid w:val="0014108E"/>
    <w:rsid w:val="00142E62"/>
    <w:rsid w:val="00146A6E"/>
    <w:rsid w:val="001529E1"/>
    <w:rsid w:val="00156DBB"/>
    <w:rsid w:val="00160916"/>
    <w:rsid w:val="001642EA"/>
    <w:rsid w:val="00165BAD"/>
    <w:rsid w:val="001818E0"/>
    <w:rsid w:val="00194CE9"/>
    <w:rsid w:val="001B59E0"/>
    <w:rsid w:val="001C156D"/>
    <w:rsid w:val="001D168D"/>
    <w:rsid w:val="00205D6E"/>
    <w:rsid w:val="00225F7F"/>
    <w:rsid w:val="0023060B"/>
    <w:rsid w:val="00234D33"/>
    <w:rsid w:val="00242B42"/>
    <w:rsid w:val="0025519E"/>
    <w:rsid w:val="00256C41"/>
    <w:rsid w:val="00260F3F"/>
    <w:rsid w:val="00261605"/>
    <w:rsid w:val="002677D2"/>
    <w:rsid w:val="00270BDD"/>
    <w:rsid w:val="002863D6"/>
    <w:rsid w:val="0029222C"/>
    <w:rsid w:val="002A164E"/>
    <w:rsid w:val="002A4CF9"/>
    <w:rsid w:val="002B0FA6"/>
    <w:rsid w:val="002B338A"/>
    <w:rsid w:val="002B522D"/>
    <w:rsid w:val="002D3082"/>
    <w:rsid w:val="002E0C42"/>
    <w:rsid w:val="002E6859"/>
    <w:rsid w:val="002E6AA9"/>
    <w:rsid w:val="002F16BB"/>
    <w:rsid w:val="003016A6"/>
    <w:rsid w:val="003110D7"/>
    <w:rsid w:val="00311107"/>
    <w:rsid w:val="00312BCC"/>
    <w:rsid w:val="00317CCD"/>
    <w:rsid w:val="00325DEB"/>
    <w:rsid w:val="00353DBD"/>
    <w:rsid w:val="00357799"/>
    <w:rsid w:val="00383C91"/>
    <w:rsid w:val="00384C0E"/>
    <w:rsid w:val="00395B19"/>
    <w:rsid w:val="003A1F46"/>
    <w:rsid w:val="003A4757"/>
    <w:rsid w:val="003B2D80"/>
    <w:rsid w:val="003B43EB"/>
    <w:rsid w:val="003B7A73"/>
    <w:rsid w:val="003C0E03"/>
    <w:rsid w:val="003C6ABA"/>
    <w:rsid w:val="003F0A0F"/>
    <w:rsid w:val="003F4928"/>
    <w:rsid w:val="0041594F"/>
    <w:rsid w:val="00421E56"/>
    <w:rsid w:val="00423BF2"/>
    <w:rsid w:val="00427AB6"/>
    <w:rsid w:val="0043173C"/>
    <w:rsid w:val="004319C2"/>
    <w:rsid w:val="0043325D"/>
    <w:rsid w:val="00433434"/>
    <w:rsid w:val="00441AF4"/>
    <w:rsid w:val="00447CBF"/>
    <w:rsid w:val="0047189A"/>
    <w:rsid w:val="00491969"/>
    <w:rsid w:val="00493D20"/>
    <w:rsid w:val="004958A7"/>
    <w:rsid w:val="004A0A23"/>
    <w:rsid w:val="004A1550"/>
    <w:rsid w:val="004A2F28"/>
    <w:rsid w:val="004A3DBF"/>
    <w:rsid w:val="004C46B2"/>
    <w:rsid w:val="004D3EFA"/>
    <w:rsid w:val="004F5713"/>
    <w:rsid w:val="005007EA"/>
    <w:rsid w:val="00502D97"/>
    <w:rsid w:val="005048BB"/>
    <w:rsid w:val="00511739"/>
    <w:rsid w:val="00525B60"/>
    <w:rsid w:val="00526D0A"/>
    <w:rsid w:val="00545645"/>
    <w:rsid w:val="005670CD"/>
    <w:rsid w:val="005674FA"/>
    <w:rsid w:val="00571CEA"/>
    <w:rsid w:val="00584CE9"/>
    <w:rsid w:val="00587621"/>
    <w:rsid w:val="00597857"/>
    <w:rsid w:val="005A1D04"/>
    <w:rsid w:val="005D23C0"/>
    <w:rsid w:val="005D2845"/>
    <w:rsid w:val="005E1FFE"/>
    <w:rsid w:val="005F0256"/>
    <w:rsid w:val="006012E7"/>
    <w:rsid w:val="00616925"/>
    <w:rsid w:val="00620675"/>
    <w:rsid w:val="00621DE5"/>
    <w:rsid w:val="00626C2F"/>
    <w:rsid w:val="00637944"/>
    <w:rsid w:val="00641420"/>
    <w:rsid w:val="0064521E"/>
    <w:rsid w:val="00645263"/>
    <w:rsid w:val="00655A9B"/>
    <w:rsid w:val="00671432"/>
    <w:rsid w:val="0067165F"/>
    <w:rsid w:val="0067333F"/>
    <w:rsid w:val="00673413"/>
    <w:rsid w:val="006805DE"/>
    <w:rsid w:val="00687C1F"/>
    <w:rsid w:val="00694593"/>
    <w:rsid w:val="006B4028"/>
    <w:rsid w:val="006B77FA"/>
    <w:rsid w:val="006C5A4A"/>
    <w:rsid w:val="006D0D39"/>
    <w:rsid w:val="006D7E6B"/>
    <w:rsid w:val="006E38BA"/>
    <w:rsid w:val="006F4E2A"/>
    <w:rsid w:val="006F586D"/>
    <w:rsid w:val="00701214"/>
    <w:rsid w:val="00701CCE"/>
    <w:rsid w:val="00707462"/>
    <w:rsid w:val="00710F8F"/>
    <w:rsid w:val="007122DB"/>
    <w:rsid w:val="00713B0E"/>
    <w:rsid w:val="00716919"/>
    <w:rsid w:val="00732C6F"/>
    <w:rsid w:val="00740228"/>
    <w:rsid w:val="007451F2"/>
    <w:rsid w:val="00745730"/>
    <w:rsid w:val="007541AC"/>
    <w:rsid w:val="00773A3C"/>
    <w:rsid w:val="00781BFF"/>
    <w:rsid w:val="007A69D4"/>
    <w:rsid w:val="007A7B5F"/>
    <w:rsid w:val="007C1CAD"/>
    <w:rsid w:val="007C2341"/>
    <w:rsid w:val="007E60EB"/>
    <w:rsid w:val="007F4881"/>
    <w:rsid w:val="00801CBF"/>
    <w:rsid w:val="008026BF"/>
    <w:rsid w:val="00802B8B"/>
    <w:rsid w:val="00810A71"/>
    <w:rsid w:val="0081723F"/>
    <w:rsid w:val="008204F5"/>
    <w:rsid w:val="00825CAF"/>
    <w:rsid w:val="008503D4"/>
    <w:rsid w:val="008503D7"/>
    <w:rsid w:val="00852B7E"/>
    <w:rsid w:val="0086241D"/>
    <w:rsid w:val="00862648"/>
    <w:rsid w:val="00886A49"/>
    <w:rsid w:val="00887890"/>
    <w:rsid w:val="008A20DF"/>
    <w:rsid w:val="008A3481"/>
    <w:rsid w:val="008A7186"/>
    <w:rsid w:val="008B07F7"/>
    <w:rsid w:val="008B73E2"/>
    <w:rsid w:val="008B78E4"/>
    <w:rsid w:val="008C011F"/>
    <w:rsid w:val="008C0CBB"/>
    <w:rsid w:val="008C1755"/>
    <w:rsid w:val="008C5EC3"/>
    <w:rsid w:val="008E107C"/>
    <w:rsid w:val="008F4E2F"/>
    <w:rsid w:val="008F518D"/>
    <w:rsid w:val="00905DD1"/>
    <w:rsid w:val="00910CE9"/>
    <w:rsid w:val="00927222"/>
    <w:rsid w:val="0093546A"/>
    <w:rsid w:val="00946876"/>
    <w:rsid w:val="0095224B"/>
    <w:rsid w:val="0097284F"/>
    <w:rsid w:val="00977BE3"/>
    <w:rsid w:val="00994F2E"/>
    <w:rsid w:val="00997535"/>
    <w:rsid w:val="009976A0"/>
    <w:rsid w:val="009A7B0D"/>
    <w:rsid w:val="009B5075"/>
    <w:rsid w:val="009B7611"/>
    <w:rsid w:val="009C6295"/>
    <w:rsid w:val="009F0665"/>
    <w:rsid w:val="009F0C92"/>
    <w:rsid w:val="009F4AD9"/>
    <w:rsid w:val="009F697A"/>
    <w:rsid w:val="00A06367"/>
    <w:rsid w:val="00A10858"/>
    <w:rsid w:val="00A2597B"/>
    <w:rsid w:val="00A35E56"/>
    <w:rsid w:val="00A36C06"/>
    <w:rsid w:val="00A377D9"/>
    <w:rsid w:val="00A46A6A"/>
    <w:rsid w:val="00A47D67"/>
    <w:rsid w:val="00A80570"/>
    <w:rsid w:val="00A8070D"/>
    <w:rsid w:val="00A850BF"/>
    <w:rsid w:val="00A86274"/>
    <w:rsid w:val="00A87D51"/>
    <w:rsid w:val="00A93E83"/>
    <w:rsid w:val="00A95931"/>
    <w:rsid w:val="00A95C7A"/>
    <w:rsid w:val="00AA0CAC"/>
    <w:rsid w:val="00AB5391"/>
    <w:rsid w:val="00AB53E9"/>
    <w:rsid w:val="00AC144D"/>
    <w:rsid w:val="00AC7B68"/>
    <w:rsid w:val="00AD1F1F"/>
    <w:rsid w:val="00AF5BE1"/>
    <w:rsid w:val="00B01172"/>
    <w:rsid w:val="00B05A45"/>
    <w:rsid w:val="00B17D27"/>
    <w:rsid w:val="00B21B4D"/>
    <w:rsid w:val="00B36AE1"/>
    <w:rsid w:val="00B50CEB"/>
    <w:rsid w:val="00B53C6E"/>
    <w:rsid w:val="00B55467"/>
    <w:rsid w:val="00B621BD"/>
    <w:rsid w:val="00B64564"/>
    <w:rsid w:val="00B64F9A"/>
    <w:rsid w:val="00B656D3"/>
    <w:rsid w:val="00B71FFA"/>
    <w:rsid w:val="00B77555"/>
    <w:rsid w:val="00B81E06"/>
    <w:rsid w:val="00B81F14"/>
    <w:rsid w:val="00B82063"/>
    <w:rsid w:val="00BA7946"/>
    <w:rsid w:val="00BB0C14"/>
    <w:rsid w:val="00BB0C23"/>
    <w:rsid w:val="00BB1439"/>
    <w:rsid w:val="00BB4EFE"/>
    <w:rsid w:val="00BB76F3"/>
    <w:rsid w:val="00BD119E"/>
    <w:rsid w:val="00BD2285"/>
    <w:rsid w:val="00BD7112"/>
    <w:rsid w:val="00BD7B0D"/>
    <w:rsid w:val="00BF1C56"/>
    <w:rsid w:val="00BF7B2D"/>
    <w:rsid w:val="00C146D5"/>
    <w:rsid w:val="00C22190"/>
    <w:rsid w:val="00C2279C"/>
    <w:rsid w:val="00C403BE"/>
    <w:rsid w:val="00C41751"/>
    <w:rsid w:val="00C5382D"/>
    <w:rsid w:val="00C60A8B"/>
    <w:rsid w:val="00C679A7"/>
    <w:rsid w:val="00C75FAE"/>
    <w:rsid w:val="00C776E0"/>
    <w:rsid w:val="00C8347A"/>
    <w:rsid w:val="00C97512"/>
    <w:rsid w:val="00CA2181"/>
    <w:rsid w:val="00CA2634"/>
    <w:rsid w:val="00CA55A4"/>
    <w:rsid w:val="00CA65CE"/>
    <w:rsid w:val="00CA684D"/>
    <w:rsid w:val="00CA70DB"/>
    <w:rsid w:val="00CB2225"/>
    <w:rsid w:val="00CC2224"/>
    <w:rsid w:val="00CC5311"/>
    <w:rsid w:val="00CD51D2"/>
    <w:rsid w:val="00CD7AEF"/>
    <w:rsid w:val="00CE1EA8"/>
    <w:rsid w:val="00CE6530"/>
    <w:rsid w:val="00CF4136"/>
    <w:rsid w:val="00CF7F97"/>
    <w:rsid w:val="00D10A3E"/>
    <w:rsid w:val="00D14C5B"/>
    <w:rsid w:val="00D166A8"/>
    <w:rsid w:val="00D2677C"/>
    <w:rsid w:val="00D30D2F"/>
    <w:rsid w:val="00D30F51"/>
    <w:rsid w:val="00D31D97"/>
    <w:rsid w:val="00D330C2"/>
    <w:rsid w:val="00D35B14"/>
    <w:rsid w:val="00D40419"/>
    <w:rsid w:val="00D51968"/>
    <w:rsid w:val="00D728D8"/>
    <w:rsid w:val="00D74062"/>
    <w:rsid w:val="00D74B56"/>
    <w:rsid w:val="00D75913"/>
    <w:rsid w:val="00D80230"/>
    <w:rsid w:val="00D811CA"/>
    <w:rsid w:val="00D878CB"/>
    <w:rsid w:val="00D9422B"/>
    <w:rsid w:val="00D97A7C"/>
    <w:rsid w:val="00DA3274"/>
    <w:rsid w:val="00DB2A7E"/>
    <w:rsid w:val="00DC162F"/>
    <w:rsid w:val="00DC645C"/>
    <w:rsid w:val="00DE3D33"/>
    <w:rsid w:val="00E10C1E"/>
    <w:rsid w:val="00E15BC5"/>
    <w:rsid w:val="00E1730E"/>
    <w:rsid w:val="00E20F15"/>
    <w:rsid w:val="00E22CD3"/>
    <w:rsid w:val="00E32887"/>
    <w:rsid w:val="00E32B6A"/>
    <w:rsid w:val="00E5354C"/>
    <w:rsid w:val="00E65286"/>
    <w:rsid w:val="00E6590A"/>
    <w:rsid w:val="00E72949"/>
    <w:rsid w:val="00E7750F"/>
    <w:rsid w:val="00E815D3"/>
    <w:rsid w:val="00E87A98"/>
    <w:rsid w:val="00E90859"/>
    <w:rsid w:val="00E90943"/>
    <w:rsid w:val="00E9382E"/>
    <w:rsid w:val="00EA44FE"/>
    <w:rsid w:val="00EB37CF"/>
    <w:rsid w:val="00EC0D33"/>
    <w:rsid w:val="00EE655C"/>
    <w:rsid w:val="00EF12D3"/>
    <w:rsid w:val="00EF527F"/>
    <w:rsid w:val="00EF6EF4"/>
    <w:rsid w:val="00F204F2"/>
    <w:rsid w:val="00F344E9"/>
    <w:rsid w:val="00F35E3B"/>
    <w:rsid w:val="00F36D7C"/>
    <w:rsid w:val="00F37A13"/>
    <w:rsid w:val="00F37E72"/>
    <w:rsid w:val="00F445B3"/>
    <w:rsid w:val="00F577B5"/>
    <w:rsid w:val="00F752C3"/>
    <w:rsid w:val="00F755F3"/>
    <w:rsid w:val="00FA44B9"/>
    <w:rsid w:val="00FB1787"/>
    <w:rsid w:val="00FC72C3"/>
    <w:rsid w:val="00FD5A2F"/>
    <w:rsid w:val="00FF1536"/>
    <w:rsid w:val="00FF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17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paragraph" w:styleId="Heading3">
    <w:name w:val="heading 3"/>
    <w:basedOn w:val="Normal"/>
    <w:next w:val="Normal"/>
    <w:link w:val="Heading3Char"/>
    <w:uiPriority w:val="9"/>
    <w:semiHidden/>
    <w:unhideWhenUsed/>
    <w:qFormat/>
    <w:rsid w:val="00A377D9"/>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styleId="UnresolvedMention">
    <w:name w:val="Unresolved Mention"/>
    <w:basedOn w:val="DefaultParagraphFont"/>
    <w:uiPriority w:val="99"/>
    <w:rsid w:val="002F16BB"/>
    <w:rPr>
      <w:color w:val="605E5C"/>
      <w:shd w:val="clear" w:color="auto" w:fill="E1DFDD"/>
    </w:rPr>
  </w:style>
  <w:style w:type="character" w:styleId="FollowedHyperlink">
    <w:name w:val="FollowedHyperlink"/>
    <w:basedOn w:val="DefaultParagraphFont"/>
    <w:uiPriority w:val="99"/>
    <w:semiHidden/>
    <w:unhideWhenUsed/>
    <w:rsid w:val="00A80570"/>
    <w:rPr>
      <w:color w:val="954F72" w:themeColor="followedHyperlink"/>
      <w:u w:val="single"/>
    </w:rPr>
  </w:style>
  <w:style w:type="character" w:customStyle="1" w:styleId="Heading3Char">
    <w:name w:val="Heading 3 Char"/>
    <w:basedOn w:val="DefaultParagraphFont"/>
    <w:link w:val="Heading3"/>
    <w:uiPriority w:val="9"/>
    <w:semiHidden/>
    <w:rsid w:val="00A377D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13005">
      <w:bodyDiv w:val="1"/>
      <w:marLeft w:val="0"/>
      <w:marRight w:val="0"/>
      <w:marTop w:val="0"/>
      <w:marBottom w:val="0"/>
      <w:divBdr>
        <w:top w:val="none" w:sz="0" w:space="0" w:color="auto"/>
        <w:left w:val="none" w:sz="0" w:space="0" w:color="auto"/>
        <w:bottom w:val="none" w:sz="0" w:space="0" w:color="auto"/>
        <w:right w:val="none" w:sz="0" w:space="0" w:color="auto"/>
      </w:divBdr>
    </w:div>
    <w:div w:id="1513957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iraclon.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fellows@adcomms.co.uk" TargetMode="External"/><Relationship Id="rId17" Type="http://schemas.openxmlformats.org/officeDocument/2006/relationships/hyperlink" Target="https://www.youtube.com/channel/UCAZGpziB6Lq_Kx8ROgoMdCA/featured" TargetMode="External"/><Relationship Id="rId2" Type="http://schemas.openxmlformats.org/officeDocument/2006/relationships/customXml" Target="../customXml/item2.xml"/><Relationship Id="rId16" Type="http://schemas.openxmlformats.org/officeDocument/2006/relationships/hyperlink" Target="https://www.linkedin.com/company/miraclon-corpor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ni.vanrensburg@miraclon.com" TargetMode="External"/><Relationship Id="rId5" Type="http://schemas.openxmlformats.org/officeDocument/2006/relationships/styles" Target="styles.xml"/><Relationship Id="rId15" Type="http://schemas.openxmlformats.org/officeDocument/2006/relationships/hyperlink" Target="http://www.miraclon.com/"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iraclon.com/about/modern-flex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2" ma:contentTypeDescription="Create a new document." ma:contentTypeScope="" ma:versionID="d0330926ab3ea937e63f3d87f3db9b58">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d531387a58478785f9298fdf938d49d7"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AD986-EF6E-45E0-8221-A282978BB056}">
  <ds:schemaRefs>
    <ds:schemaRef ds:uri="http://schemas.microsoft.com/office/2006/metadata/properties"/>
    <ds:schemaRef ds:uri="http://schemas.microsoft.com/office/infopath/2007/PartnerControls"/>
    <ds:schemaRef ds:uri="a9d656df-bdb6-49eb-b737-341170c2f580"/>
    <ds:schemaRef ds:uri="e15a0695-6c87-4d03-ad03-ec2ea44d5f46"/>
  </ds:schemaRefs>
</ds:datastoreItem>
</file>

<file path=customXml/itemProps2.xml><?xml version="1.0" encoding="utf-8"?>
<ds:datastoreItem xmlns:ds="http://schemas.openxmlformats.org/officeDocument/2006/customXml" ds:itemID="{85831263-C14A-4314-B291-ADFEBAB808B8}">
  <ds:schemaRefs>
    <ds:schemaRef ds:uri="http://schemas.microsoft.com/sharepoint/v3/contenttype/forms"/>
  </ds:schemaRefs>
</ds:datastoreItem>
</file>

<file path=customXml/itemProps3.xml><?xml version="1.0" encoding="utf-8"?>
<ds:datastoreItem xmlns:ds="http://schemas.openxmlformats.org/officeDocument/2006/customXml" ds:itemID="{7D086821-AD92-42F2-A1FA-4B4641D87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2025-09-08T13:36:00Z</dcterms:created>
  <dcterms:modified xsi:type="dcterms:W3CDTF">2025-09-22T09:58:00Z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