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6CEF" w14:textId="2A448432" w:rsidR="00257591" w:rsidRPr="008C2EBB" w:rsidRDefault="00C77C8C" w:rsidP="00C77C8C">
      <w:pPr>
        <w:jc w:val="right"/>
        <w:rPr>
          <w:rFonts w:ascii="Calibri" w:hAnsi="Calibri" w:cs="Calibri"/>
          <w:lang w:val="en-US"/>
        </w:rPr>
      </w:pP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C77C8C">
        <w:rPr>
          <w:rFonts w:ascii="Calibri" w:hAnsi="Calibri" w:cs="Calibri"/>
        </w:rPr>
        <w:t xml:space="preserve"> </w:t>
      </w:r>
      <w:r w:rsidRPr="00C77C8C">
        <w:rPr>
          <w:noProof/>
        </w:rPr>
        <w:t xml:space="preserve"> </w:t>
      </w:r>
      <w:r w:rsidRPr="00C77C8C">
        <w:rPr>
          <w:noProof/>
        </w:rPr>
        <w:drawing>
          <wp:inline distT="0" distB="0" distL="0" distR="0" wp14:anchorId="0A73705F" wp14:editId="2FD8024E">
            <wp:extent cx="1949660" cy="412916"/>
            <wp:effectExtent l="0" t="0" r="0" b="6350"/>
            <wp:docPr id="1234711023" name="Picture 7" descr="A blue text on a white background&#10;&#10;AI-generated content may be incorrect.">
              <a:extLst xmlns:a="http://schemas.openxmlformats.org/drawingml/2006/main">
                <a:ext uri="{FF2B5EF4-FFF2-40B4-BE49-F238E27FC236}">
                  <a16:creationId xmlns:a16="http://schemas.microsoft.com/office/drawing/2014/main" id="{7B176C5C-BB66-9CF3-5B54-12C51AFD4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11023" name="Picture 7" descr="A blue text on a white background&#10;&#10;AI-generated content may be incorrect.">
                      <a:extLst>
                        <a:ext uri="{FF2B5EF4-FFF2-40B4-BE49-F238E27FC236}">
                          <a16:creationId xmlns:a16="http://schemas.microsoft.com/office/drawing/2014/main" id="{7B176C5C-BB66-9CF3-5B54-12C51AFD443E}"/>
                        </a:ext>
                      </a:extLst>
                    </pic:cNvPr>
                    <pic:cNvPicPr>
                      <a:picLocks noChangeAspect="1"/>
                    </pic:cNvPicPr>
                  </pic:nvPicPr>
                  <pic:blipFill rotWithShape="1">
                    <a:blip r:embed="rId10"/>
                    <a:srcRect t="13679" b="21739"/>
                    <a:stretch/>
                  </pic:blipFill>
                  <pic:spPr bwMode="auto">
                    <a:xfrm>
                      <a:off x="0" y="0"/>
                      <a:ext cx="1962417" cy="415618"/>
                    </a:xfrm>
                    <a:prstGeom prst="rect">
                      <a:avLst/>
                    </a:prstGeom>
                    <a:ln>
                      <a:noFill/>
                    </a:ln>
                    <a:extLst>
                      <a:ext uri="{53640926-AAD7-44D8-BBD7-CCE9431645EC}">
                        <a14:shadowObscured xmlns:a14="http://schemas.microsoft.com/office/drawing/2010/main"/>
                      </a:ext>
                    </a:extLst>
                  </pic:spPr>
                </pic:pic>
              </a:graphicData>
            </a:graphic>
          </wp:inline>
        </w:drawing>
      </w:r>
    </w:p>
    <w:p w14:paraId="6F8D140A" w14:textId="1D5236CB" w:rsidR="00C77C8C" w:rsidRPr="00CC403F" w:rsidRDefault="00B078AD">
      <w:pPr>
        <w:rPr>
          <w:rFonts w:ascii="Calibri" w:hAnsi="Calibri" w:cs="Calibri"/>
          <w:b/>
          <w:bCs/>
          <w:lang w:val="en-US"/>
        </w:rPr>
      </w:pPr>
      <w:r>
        <w:rPr>
          <w:rFonts w:ascii="Calibri" w:hAnsi="Calibri" w:cs="Calibri"/>
          <w:b/>
          <w:bCs/>
          <w:lang w:val="en-US"/>
        </w:rPr>
        <w:t>EXECUTIVE SUMMARY</w:t>
      </w:r>
    </w:p>
    <w:p w14:paraId="7F31883D" w14:textId="77777777" w:rsidR="00C77C8C" w:rsidRDefault="00C77C8C">
      <w:pPr>
        <w:rPr>
          <w:rFonts w:ascii="Calibri" w:hAnsi="Calibri" w:cs="Calibri"/>
          <w:lang w:val="en-US"/>
        </w:rPr>
      </w:pPr>
    </w:p>
    <w:p w14:paraId="21CEE813" w14:textId="6F766C92" w:rsidR="008C2EBB" w:rsidRDefault="00B078AD">
      <w:pPr>
        <w:rPr>
          <w:rFonts w:ascii="Calibri" w:hAnsi="Calibri" w:cs="Calibri"/>
          <w:lang w:val="en-US"/>
        </w:rPr>
      </w:pPr>
      <w:r>
        <w:rPr>
          <w:rFonts w:ascii="Calibri" w:hAnsi="Calibri" w:cs="Calibri"/>
          <w:lang w:val="en-US"/>
        </w:rPr>
        <w:t>26 March</w:t>
      </w:r>
      <w:r w:rsidR="008C2EBB" w:rsidRPr="5654F902">
        <w:rPr>
          <w:rFonts w:ascii="Calibri" w:hAnsi="Calibri" w:cs="Calibri"/>
          <w:lang w:val="en-US"/>
        </w:rPr>
        <w:t xml:space="preserve"> 202</w:t>
      </w:r>
      <w:r>
        <w:rPr>
          <w:rFonts w:ascii="Calibri" w:hAnsi="Calibri" w:cs="Calibri"/>
          <w:lang w:val="en-US"/>
        </w:rPr>
        <w:t>6</w:t>
      </w:r>
    </w:p>
    <w:p w14:paraId="758226AB" w14:textId="77777777" w:rsidR="008C2EBB" w:rsidRDefault="008C2EBB">
      <w:pPr>
        <w:rPr>
          <w:rFonts w:ascii="Calibri" w:hAnsi="Calibri" w:cs="Calibri"/>
          <w:lang w:val="en-US"/>
        </w:rPr>
      </w:pPr>
    </w:p>
    <w:p w14:paraId="1219ACA0" w14:textId="5649DAE3" w:rsidR="00B078AD" w:rsidRPr="00B078AD" w:rsidRDefault="00B078AD" w:rsidP="00B078AD">
      <w:pPr>
        <w:spacing w:line="360" w:lineRule="auto"/>
        <w:jc w:val="center"/>
        <w:rPr>
          <w:rFonts w:ascii="Calibri" w:hAnsi="Calibri" w:cs="Calibri"/>
          <w:b/>
          <w:bCs/>
          <w:lang w:val="en-US"/>
        </w:rPr>
      </w:pPr>
      <w:r w:rsidRPr="00B078AD">
        <w:rPr>
          <w:rFonts w:ascii="Calibri" w:hAnsi="Calibri" w:cs="Calibri"/>
          <w:b/>
          <w:bCs/>
          <w:lang w:val="en-US"/>
        </w:rPr>
        <w:t>FESPA LAUNCHES ANTI-GREENWASHING SUSTAINABILITY GUIDE TO SUPPORT ENVIRONMENTALLY RESPONSIBLE BUSINESS OPERATIONS</w:t>
      </w:r>
    </w:p>
    <w:p w14:paraId="0CC627E4" w14:textId="77777777" w:rsidR="00B078AD" w:rsidRPr="00B078AD" w:rsidRDefault="00B078AD" w:rsidP="00B078AD">
      <w:pPr>
        <w:spacing w:line="360" w:lineRule="auto"/>
        <w:rPr>
          <w:rFonts w:ascii="Calibri" w:hAnsi="Calibri" w:cs="Calibri"/>
        </w:rPr>
      </w:pPr>
      <w:r w:rsidRPr="00B078AD">
        <w:rPr>
          <w:rFonts w:ascii="Calibri" w:hAnsi="Calibri" w:cs="Calibri"/>
          <w:b/>
          <w:bCs/>
          <w:i/>
          <w:iCs/>
        </w:rPr>
        <w:t>Key findings:</w:t>
      </w:r>
      <w:r w:rsidRPr="00B078AD">
        <w:rPr>
          <w:rFonts w:ascii="Calibri" w:hAnsi="Calibri" w:cs="Calibri"/>
        </w:rPr>
        <w:t> </w:t>
      </w:r>
    </w:p>
    <w:p w14:paraId="28F51BD0" w14:textId="77777777" w:rsidR="00B078AD" w:rsidRPr="00B078AD" w:rsidRDefault="00B078AD" w:rsidP="00B078AD">
      <w:pPr>
        <w:numPr>
          <w:ilvl w:val="0"/>
          <w:numId w:val="4"/>
        </w:numPr>
        <w:spacing w:line="360" w:lineRule="auto"/>
        <w:rPr>
          <w:rFonts w:ascii="Calibri" w:hAnsi="Calibri" w:cs="Calibri"/>
        </w:rPr>
      </w:pPr>
      <w:r w:rsidRPr="00B078AD">
        <w:rPr>
          <w:rFonts w:ascii="Calibri" w:hAnsi="Calibri" w:cs="Calibri"/>
        </w:rPr>
        <w:t>Most environmental claims are vague, unproven, or misleading, with 53% of claims vague or unfounded and 40% lacking evidence  </w:t>
      </w:r>
    </w:p>
    <w:p w14:paraId="5E38C710" w14:textId="77777777" w:rsidR="00B078AD" w:rsidRPr="00B078AD" w:rsidRDefault="00B078AD" w:rsidP="00B078AD">
      <w:pPr>
        <w:numPr>
          <w:ilvl w:val="0"/>
          <w:numId w:val="5"/>
        </w:numPr>
        <w:spacing w:line="360" w:lineRule="auto"/>
        <w:rPr>
          <w:rFonts w:ascii="Calibri" w:hAnsi="Calibri" w:cs="Calibri"/>
        </w:rPr>
      </w:pPr>
      <w:r w:rsidRPr="00B078AD">
        <w:rPr>
          <w:rFonts w:ascii="Calibri" w:hAnsi="Calibri" w:cs="Calibri"/>
        </w:rPr>
        <w:t>Greenwashing can occur even when a claim is technically true </w:t>
      </w:r>
    </w:p>
    <w:p w14:paraId="43399C1C" w14:textId="77777777" w:rsidR="00B078AD" w:rsidRPr="00B078AD" w:rsidRDefault="00B078AD" w:rsidP="00B078AD">
      <w:pPr>
        <w:numPr>
          <w:ilvl w:val="0"/>
          <w:numId w:val="6"/>
        </w:numPr>
        <w:spacing w:line="360" w:lineRule="auto"/>
        <w:rPr>
          <w:rFonts w:ascii="Calibri" w:hAnsi="Calibri" w:cs="Calibri"/>
        </w:rPr>
      </w:pPr>
      <w:r w:rsidRPr="00B078AD">
        <w:rPr>
          <w:rFonts w:ascii="Calibri" w:hAnsi="Calibri" w:cs="Calibri"/>
        </w:rPr>
        <w:t>EU and UK sustainability regulations are tightening significantly </w:t>
      </w:r>
    </w:p>
    <w:p w14:paraId="1426BC36" w14:textId="77777777" w:rsidR="00B078AD" w:rsidRPr="00B078AD" w:rsidRDefault="00B078AD" w:rsidP="00B078AD">
      <w:pPr>
        <w:numPr>
          <w:ilvl w:val="0"/>
          <w:numId w:val="7"/>
        </w:numPr>
        <w:spacing w:line="360" w:lineRule="auto"/>
        <w:rPr>
          <w:rFonts w:ascii="Calibri" w:hAnsi="Calibri" w:cs="Calibri"/>
        </w:rPr>
      </w:pPr>
      <w:r w:rsidRPr="00B078AD">
        <w:rPr>
          <w:rFonts w:ascii="Calibri" w:hAnsi="Calibri" w:cs="Calibri"/>
        </w:rPr>
        <w:t>The printing industry faces </w:t>
      </w:r>
      <w:proofErr w:type="gramStart"/>
      <w:r w:rsidRPr="00B078AD">
        <w:rPr>
          <w:rFonts w:ascii="Calibri" w:hAnsi="Calibri" w:cs="Calibri"/>
        </w:rPr>
        <w:t>particular risks</w:t>
      </w:r>
      <w:proofErr w:type="gramEnd"/>
      <w:r w:rsidRPr="00B078AD">
        <w:rPr>
          <w:rFonts w:ascii="Calibri" w:hAnsi="Calibri" w:cs="Calibri"/>
        </w:rPr>
        <w:t> around terms like ‘biodegradable’, ‘compostable’, and ‘ecofriendly’ </w:t>
      </w:r>
    </w:p>
    <w:p w14:paraId="2D0F1585" w14:textId="77777777" w:rsidR="00B078AD" w:rsidRPr="00B078AD" w:rsidRDefault="00B078AD" w:rsidP="00B078AD">
      <w:pPr>
        <w:numPr>
          <w:ilvl w:val="0"/>
          <w:numId w:val="8"/>
        </w:numPr>
        <w:spacing w:line="360" w:lineRule="auto"/>
        <w:rPr>
          <w:rFonts w:ascii="Calibri" w:hAnsi="Calibri" w:cs="Calibri"/>
        </w:rPr>
      </w:pPr>
      <w:r w:rsidRPr="00B078AD">
        <w:rPr>
          <w:rFonts w:ascii="Calibri" w:hAnsi="Calibri" w:cs="Calibri"/>
        </w:rPr>
        <w:t>‘Lifecycle thinking’ is essential to avoid misleading claims, because improvements in one stage may hide negative impacts elsewhere </w:t>
      </w:r>
    </w:p>
    <w:p w14:paraId="36B9681B" w14:textId="77777777" w:rsidR="00B078AD" w:rsidRPr="00B078AD" w:rsidRDefault="00B078AD" w:rsidP="00B078AD">
      <w:pPr>
        <w:spacing w:line="360" w:lineRule="auto"/>
        <w:rPr>
          <w:rFonts w:ascii="Calibri" w:hAnsi="Calibri" w:cs="Calibri"/>
        </w:rPr>
      </w:pPr>
      <w:r w:rsidRPr="00B078AD">
        <w:rPr>
          <w:rFonts w:ascii="Calibri" w:hAnsi="Calibri" w:cs="Calibri"/>
          <w:b/>
          <w:bCs/>
          <w:i/>
          <w:iCs/>
        </w:rPr>
        <w:t>Executive summary:</w:t>
      </w:r>
      <w:r w:rsidRPr="00B078AD">
        <w:rPr>
          <w:rFonts w:ascii="Calibri" w:hAnsi="Calibri" w:cs="Calibri"/>
        </w:rPr>
        <w:t> </w:t>
      </w:r>
    </w:p>
    <w:p w14:paraId="01DBB705" w14:textId="77777777" w:rsidR="00B078AD" w:rsidRPr="00B078AD" w:rsidRDefault="00B078AD" w:rsidP="00B078AD">
      <w:pPr>
        <w:spacing w:line="360" w:lineRule="auto"/>
        <w:rPr>
          <w:rFonts w:ascii="Calibri" w:hAnsi="Calibri" w:cs="Calibri"/>
        </w:rPr>
      </w:pPr>
      <w:r w:rsidRPr="00B078AD">
        <w:rPr>
          <w:rFonts w:ascii="Calibri" w:hAnsi="Calibri" w:cs="Calibri"/>
        </w:rPr>
        <w:t>FESPA has launched a new Anti-Greenwashing Sustainability Guide, designed to help businesses across the print and visual communications industries navigate the ever-changing regulatory landscape. It advises on how businesses can ensure their sustainability messaging is accurate, credible and evidence-based – and ultimately avoid ‘greenwashing’.  </w:t>
      </w:r>
    </w:p>
    <w:p w14:paraId="6508DACF" w14:textId="77777777" w:rsidR="00B078AD" w:rsidRPr="00B078AD" w:rsidRDefault="00B078AD" w:rsidP="00B078AD">
      <w:pPr>
        <w:spacing w:line="360" w:lineRule="auto"/>
        <w:rPr>
          <w:rFonts w:ascii="Calibri" w:hAnsi="Calibri" w:cs="Calibri"/>
        </w:rPr>
      </w:pPr>
      <w:r w:rsidRPr="00B078AD">
        <w:rPr>
          <w:rFonts w:ascii="Calibri" w:hAnsi="Calibri" w:cs="Calibri"/>
        </w:rPr>
        <w:t>The informative guide, titled </w:t>
      </w:r>
      <w:r w:rsidRPr="00B078AD">
        <w:rPr>
          <w:rFonts w:ascii="Calibri" w:hAnsi="Calibri" w:cs="Calibri"/>
          <w:i/>
          <w:iCs/>
        </w:rPr>
        <w:t>‘Understanding and Avoiding Greenwash’</w:t>
      </w:r>
      <w:r w:rsidRPr="00B078AD">
        <w:rPr>
          <w:rFonts w:ascii="Calibri" w:hAnsi="Calibri" w:cs="Calibri"/>
        </w:rPr>
        <w:t>, is part of FESPA’s Sustainability Spotlight initiative and it provides practical guidance for companies striving to communicate their improved, greener business operations responsibly while avoiding the reputational and legal risks associated with misleading claims.  </w:t>
      </w:r>
    </w:p>
    <w:p w14:paraId="1FBF268C" w14:textId="77777777" w:rsidR="00B078AD" w:rsidRPr="00B078AD" w:rsidRDefault="00B078AD" w:rsidP="00B078AD">
      <w:pPr>
        <w:spacing w:line="360" w:lineRule="auto"/>
        <w:rPr>
          <w:rFonts w:ascii="Calibri" w:hAnsi="Calibri" w:cs="Calibri"/>
        </w:rPr>
      </w:pPr>
      <w:r w:rsidRPr="00B078AD">
        <w:rPr>
          <w:rFonts w:ascii="Calibri" w:hAnsi="Calibri" w:cs="Calibri"/>
          <w:b/>
          <w:bCs/>
        </w:rPr>
        <w:t>Compliance amid confusion</w:t>
      </w:r>
      <w:r w:rsidRPr="00B078AD">
        <w:rPr>
          <w:rFonts w:ascii="Calibri" w:hAnsi="Calibri" w:cs="Calibri"/>
        </w:rPr>
        <w:t> </w:t>
      </w:r>
    </w:p>
    <w:p w14:paraId="03369032" w14:textId="77777777" w:rsidR="00B078AD" w:rsidRPr="00B078AD" w:rsidRDefault="00B078AD" w:rsidP="00B078AD">
      <w:pPr>
        <w:spacing w:line="360" w:lineRule="auto"/>
        <w:rPr>
          <w:rFonts w:ascii="Calibri" w:hAnsi="Calibri" w:cs="Calibri"/>
        </w:rPr>
      </w:pPr>
      <w:r w:rsidRPr="00B078AD">
        <w:rPr>
          <w:rFonts w:ascii="Calibri" w:hAnsi="Calibri" w:cs="Calibri"/>
        </w:rPr>
        <w:t xml:space="preserve">As sustainability becomes a major purchasing criterion for brands and consumers alike, the pressure on businesses to demonstrate environmental responsibility has increased significantly over the last decade. At the same time, governments and regulators across the UK and EU are tightening </w:t>
      </w:r>
      <w:r w:rsidRPr="00B078AD">
        <w:rPr>
          <w:rFonts w:ascii="Calibri" w:hAnsi="Calibri" w:cs="Calibri"/>
        </w:rPr>
        <w:lastRenderedPageBreak/>
        <w:t>legislation to prevent misleading or unsubstantiated environmental claims. The guide responds to this changing landscape by helping businesses understand what constitutes greenwashing and how to ensure their claims meet regulatory expectations. </w:t>
      </w:r>
    </w:p>
    <w:p w14:paraId="5F467EA4" w14:textId="77777777" w:rsidR="00B078AD" w:rsidRPr="00B078AD" w:rsidRDefault="00B078AD" w:rsidP="00B078AD">
      <w:pPr>
        <w:spacing w:line="360" w:lineRule="auto"/>
        <w:rPr>
          <w:rFonts w:ascii="Calibri" w:hAnsi="Calibri" w:cs="Calibri"/>
        </w:rPr>
      </w:pPr>
      <w:r w:rsidRPr="00B078AD">
        <w:rPr>
          <w:rFonts w:ascii="Calibri" w:hAnsi="Calibri" w:cs="Calibri"/>
        </w:rPr>
        <w:t>Research cited in the guide highlights the scale of the challenge. More than 53% of environmental claims are vague, misleading or unfounded, while 40% lack supporting evidence. In addition, the EU alone currently has more than 230 sustainability labels and 100 green energy labels, many with varying levels of transparency and verification.  </w:t>
      </w:r>
    </w:p>
    <w:p w14:paraId="2E75476D" w14:textId="77777777" w:rsidR="00B078AD" w:rsidRPr="00B078AD" w:rsidRDefault="00B078AD" w:rsidP="00B078AD">
      <w:pPr>
        <w:spacing w:line="360" w:lineRule="auto"/>
        <w:rPr>
          <w:rFonts w:ascii="Calibri" w:hAnsi="Calibri" w:cs="Calibri"/>
        </w:rPr>
      </w:pPr>
      <w:r w:rsidRPr="00B078AD">
        <w:rPr>
          <w:rFonts w:ascii="Calibri" w:hAnsi="Calibri" w:cs="Calibri"/>
        </w:rPr>
        <w:t>These inconsistencies can create confusion for both businesses and consumers – and the need for guidance is clear. </w:t>
      </w:r>
    </w:p>
    <w:p w14:paraId="6441F604" w14:textId="77777777" w:rsidR="00B078AD" w:rsidRPr="00B078AD" w:rsidRDefault="00B078AD" w:rsidP="00B078AD">
      <w:pPr>
        <w:spacing w:line="360" w:lineRule="auto"/>
        <w:rPr>
          <w:rFonts w:ascii="Calibri" w:hAnsi="Calibri" w:cs="Calibri"/>
        </w:rPr>
      </w:pPr>
      <w:r w:rsidRPr="00B078AD">
        <w:rPr>
          <w:rFonts w:ascii="Calibri" w:hAnsi="Calibri" w:cs="Calibri"/>
          <w:b/>
          <w:bCs/>
        </w:rPr>
        <w:t>Making statements</w:t>
      </w:r>
      <w:r w:rsidRPr="00B078AD">
        <w:rPr>
          <w:rFonts w:ascii="Calibri" w:hAnsi="Calibri" w:cs="Calibri"/>
        </w:rPr>
        <w:t> </w:t>
      </w:r>
    </w:p>
    <w:p w14:paraId="5187D3FD" w14:textId="77777777" w:rsidR="00B078AD" w:rsidRPr="00B078AD" w:rsidRDefault="00B078AD" w:rsidP="00B078AD">
      <w:pPr>
        <w:spacing w:line="360" w:lineRule="auto"/>
        <w:rPr>
          <w:rFonts w:ascii="Calibri" w:hAnsi="Calibri" w:cs="Calibri"/>
        </w:rPr>
      </w:pPr>
      <w:r w:rsidRPr="00B078AD">
        <w:rPr>
          <w:rFonts w:ascii="Calibri" w:hAnsi="Calibri" w:cs="Calibri"/>
        </w:rPr>
        <w:t>The guide highlights that </w:t>
      </w:r>
      <w:proofErr w:type="gramStart"/>
      <w:r w:rsidRPr="00B078AD">
        <w:rPr>
          <w:rFonts w:ascii="Calibri" w:hAnsi="Calibri" w:cs="Calibri"/>
        </w:rPr>
        <w:t>claims</w:t>
      </w:r>
      <w:proofErr w:type="gramEnd"/>
      <w:r w:rsidRPr="00B078AD">
        <w:rPr>
          <w:rFonts w:ascii="Calibri" w:hAnsi="Calibri" w:cs="Calibri"/>
        </w:rPr>
        <w:t> which are technically true may still be considered misleading if they omit relevant information, exaggerate benefits or fail to reflect the full lifecycle impact of a product. As such, generic statements such as “eco-friendly” or “sustainable”, without substantiation, are increasingly falling under regulatory scrutiny. </w:t>
      </w:r>
    </w:p>
    <w:p w14:paraId="62DC7743" w14:textId="77777777" w:rsidR="00B078AD" w:rsidRPr="00B078AD" w:rsidRDefault="00B078AD" w:rsidP="00B078AD">
      <w:pPr>
        <w:spacing w:line="360" w:lineRule="auto"/>
        <w:rPr>
          <w:rFonts w:ascii="Calibri" w:hAnsi="Calibri" w:cs="Calibri"/>
        </w:rPr>
      </w:pPr>
      <w:r w:rsidRPr="00B078AD">
        <w:rPr>
          <w:rFonts w:ascii="Calibri" w:hAnsi="Calibri" w:cs="Calibri"/>
        </w:rPr>
        <w:t>To help businesses avoid these pitfalls, the guide outlines the key principles underpinning environmental claims legislation in the UK and the EU.  </w:t>
      </w:r>
    </w:p>
    <w:p w14:paraId="3ED823D3" w14:textId="77777777" w:rsidR="00B078AD" w:rsidRPr="00B078AD" w:rsidRDefault="00B078AD" w:rsidP="00B078AD">
      <w:pPr>
        <w:spacing w:line="360" w:lineRule="auto"/>
        <w:rPr>
          <w:rFonts w:ascii="Calibri" w:hAnsi="Calibri" w:cs="Calibri"/>
        </w:rPr>
      </w:pPr>
      <w:r w:rsidRPr="00B078AD">
        <w:rPr>
          <w:rFonts w:ascii="Calibri" w:hAnsi="Calibri" w:cs="Calibri"/>
        </w:rPr>
        <w:t>These frameworks require that claims </w:t>
      </w:r>
      <w:proofErr w:type="gramStart"/>
      <w:r w:rsidRPr="00B078AD">
        <w:rPr>
          <w:rFonts w:ascii="Calibri" w:hAnsi="Calibri" w:cs="Calibri"/>
        </w:rPr>
        <w:t>are:</w:t>
      </w:r>
      <w:proofErr w:type="gramEnd"/>
      <w:r w:rsidRPr="00B078AD">
        <w:rPr>
          <w:rFonts w:ascii="Calibri" w:hAnsi="Calibri" w:cs="Calibri"/>
        </w:rPr>
        <w:t> clear, specific, evidence-based and verifiable. Claims also need to consider the entire lifecycle of a product, where relevant.  </w:t>
      </w:r>
    </w:p>
    <w:p w14:paraId="04E3315E" w14:textId="77777777" w:rsidR="00B078AD" w:rsidRPr="00B078AD" w:rsidRDefault="00B078AD" w:rsidP="00B078AD">
      <w:pPr>
        <w:spacing w:line="360" w:lineRule="auto"/>
        <w:rPr>
          <w:rFonts w:ascii="Calibri" w:hAnsi="Calibri" w:cs="Calibri"/>
        </w:rPr>
      </w:pPr>
      <w:r w:rsidRPr="00B078AD">
        <w:rPr>
          <w:rFonts w:ascii="Calibri" w:hAnsi="Calibri" w:cs="Calibri"/>
          <w:b/>
          <w:bCs/>
        </w:rPr>
        <w:t>Spotlighting supply chains</w:t>
      </w:r>
      <w:r w:rsidRPr="00B078AD">
        <w:rPr>
          <w:rFonts w:ascii="Calibri" w:hAnsi="Calibri" w:cs="Calibri"/>
        </w:rPr>
        <w:t> </w:t>
      </w:r>
    </w:p>
    <w:p w14:paraId="1AE9A337" w14:textId="77777777" w:rsidR="00B078AD" w:rsidRPr="00B078AD" w:rsidRDefault="00B078AD" w:rsidP="00B078AD">
      <w:pPr>
        <w:spacing w:line="360" w:lineRule="auto"/>
        <w:rPr>
          <w:rFonts w:ascii="Calibri" w:hAnsi="Calibri" w:cs="Calibri"/>
        </w:rPr>
      </w:pPr>
      <w:r w:rsidRPr="00B078AD">
        <w:rPr>
          <w:rFonts w:ascii="Calibri" w:hAnsi="Calibri" w:cs="Calibri"/>
        </w:rPr>
        <w:t>A key focus of the guide is the growing importance of supply chain transparency. Even businesses that operate primarily in business-to-business markets may be required to provide evidence that supports sustainability claims made by their customers. As a result, organisations must maintain robust documentation and ensure that information from suppliers can support any environmental claims made about products or services.  </w:t>
      </w:r>
    </w:p>
    <w:p w14:paraId="10273413" w14:textId="77777777" w:rsidR="00B078AD" w:rsidRPr="00B078AD" w:rsidRDefault="00B078AD" w:rsidP="00B078AD">
      <w:pPr>
        <w:spacing w:line="360" w:lineRule="auto"/>
        <w:rPr>
          <w:rFonts w:ascii="Calibri" w:hAnsi="Calibri" w:cs="Calibri"/>
        </w:rPr>
      </w:pPr>
      <w:r w:rsidRPr="00B078AD">
        <w:rPr>
          <w:rFonts w:ascii="Calibri" w:hAnsi="Calibri" w:cs="Calibri"/>
        </w:rPr>
        <w:t>The guide also highlights upcoming regulatory developments, including the EU’s Directive on Empowering Consumers for the Green Transition, which will introduce stricter requirements on environmental claims when fully implemented by 2026. These changes are expected to place greater emphasis on substantiated claims, certification schemes and transparency around carbon-related claims and offsets.  </w:t>
      </w:r>
    </w:p>
    <w:p w14:paraId="4B056E21" w14:textId="77777777" w:rsidR="00B078AD" w:rsidRPr="00B078AD" w:rsidRDefault="00B078AD" w:rsidP="00B078AD">
      <w:pPr>
        <w:spacing w:line="360" w:lineRule="auto"/>
        <w:rPr>
          <w:rFonts w:ascii="Calibri" w:hAnsi="Calibri" w:cs="Calibri"/>
        </w:rPr>
      </w:pPr>
      <w:r w:rsidRPr="00B078AD">
        <w:rPr>
          <w:rFonts w:ascii="Calibri" w:hAnsi="Calibri" w:cs="Calibri"/>
          <w:b/>
          <w:bCs/>
        </w:rPr>
        <w:t>The bigger picture</w:t>
      </w:r>
      <w:r w:rsidRPr="00B078AD">
        <w:rPr>
          <w:rFonts w:ascii="Calibri" w:hAnsi="Calibri" w:cs="Calibri"/>
        </w:rPr>
        <w:t> </w:t>
      </w:r>
    </w:p>
    <w:p w14:paraId="2A5ECECB" w14:textId="77777777" w:rsidR="00B078AD" w:rsidRPr="00B078AD" w:rsidRDefault="00B078AD" w:rsidP="00B078AD">
      <w:pPr>
        <w:spacing w:line="360" w:lineRule="auto"/>
        <w:rPr>
          <w:rFonts w:ascii="Calibri" w:hAnsi="Calibri" w:cs="Calibri"/>
        </w:rPr>
      </w:pPr>
      <w:r w:rsidRPr="00B078AD">
        <w:rPr>
          <w:rFonts w:ascii="Calibri" w:hAnsi="Calibri" w:cs="Calibri"/>
        </w:rPr>
        <w:lastRenderedPageBreak/>
        <w:t>In addition to regulatory compliance, the guide encourages businesses to adopt a ‘lifecycle and systems-thinking’ approach to sustainability. By examining the full environmental impact of products – from raw materials and manufacturing to distribution, use and end-of-life – organisations can communicate accurately and effectively. This approach not only helps them to avoid greenwashing, </w:t>
      </w:r>
      <w:proofErr w:type="gramStart"/>
      <w:r w:rsidRPr="00B078AD">
        <w:rPr>
          <w:rFonts w:ascii="Calibri" w:hAnsi="Calibri" w:cs="Calibri"/>
        </w:rPr>
        <w:t>it</w:t>
      </w:r>
      <w:proofErr w:type="gramEnd"/>
      <w:r w:rsidRPr="00B078AD">
        <w:rPr>
          <w:rFonts w:ascii="Calibri" w:hAnsi="Calibri" w:cs="Calibri"/>
        </w:rPr>
        <w:t> supports transparency across the supply chain too.  </w:t>
      </w:r>
    </w:p>
    <w:p w14:paraId="122FFD51" w14:textId="77777777" w:rsidR="00B078AD" w:rsidRPr="00B078AD" w:rsidRDefault="00B078AD" w:rsidP="00B078AD">
      <w:pPr>
        <w:spacing w:line="360" w:lineRule="auto"/>
        <w:rPr>
          <w:rFonts w:ascii="Calibri" w:hAnsi="Calibri" w:cs="Calibri"/>
        </w:rPr>
      </w:pPr>
      <w:r w:rsidRPr="00B078AD">
        <w:rPr>
          <w:rFonts w:ascii="Calibri" w:hAnsi="Calibri" w:cs="Calibri"/>
        </w:rPr>
        <w:t>The guide features practical advice for companies to demonstrate their environmental consciousness without greenwashing. For example: they can use recognised certifications and improve their internal processes to support and validate their claims. The guide encourages collaboration across supply chains and emphasises the importance of listening to customer concerns while communicating sustainability initiatives clearly and responsibly. </w:t>
      </w:r>
    </w:p>
    <w:p w14:paraId="5615CF69" w14:textId="77777777" w:rsidR="00B078AD" w:rsidRPr="00B078AD" w:rsidRDefault="00B078AD" w:rsidP="00B078AD">
      <w:pPr>
        <w:spacing w:line="360" w:lineRule="auto"/>
        <w:rPr>
          <w:rFonts w:ascii="Calibri" w:hAnsi="Calibri" w:cs="Calibri"/>
        </w:rPr>
      </w:pPr>
      <w:r w:rsidRPr="00B078AD">
        <w:rPr>
          <w:rFonts w:ascii="Calibri" w:hAnsi="Calibri" w:cs="Calibri"/>
        </w:rPr>
        <w:t>Ultimately, FESPA’s </w:t>
      </w:r>
      <w:r w:rsidRPr="00B078AD">
        <w:rPr>
          <w:rFonts w:ascii="Calibri" w:hAnsi="Calibri" w:cs="Calibri"/>
          <w:i/>
          <w:iCs/>
        </w:rPr>
        <w:t>Understanding and Avoiding Greenwash</w:t>
      </w:r>
      <w:r w:rsidRPr="00B078AD">
        <w:rPr>
          <w:rFonts w:ascii="Calibri" w:hAnsi="Calibri" w:cs="Calibri"/>
        </w:rPr>
        <w:t> guide highlights that credible sustainability is no longer defined by ambition alone; it’s achieved with clarity, evidence and transparency across the entire value chain. As regulatory scrutiny intensifies, businesses that move beyond generic claims to robust, lifecycle-based communications will be best-placed to protect their reputation and support their customers. By equipping the print and visual communications industry with practical, actionable guidance, FESPA is helping them to confidently move from broad sustainability statements to precise, verifiable claims that align with regulatory requirements, as well as stakeholder and customers’ trust. </w:t>
      </w:r>
    </w:p>
    <w:p w14:paraId="56DE639C" w14:textId="77777777" w:rsidR="00B078AD" w:rsidRDefault="00B078AD" w:rsidP="00B078AD">
      <w:pPr>
        <w:spacing w:line="360" w:lineRule="auto"/>
        <w:rPr>
          <w:rFonts w:ascii="Calibri" w:hAnsi="Calibri" w:cs="Calibri"/>
        </w:rPr>
      </w:pPr>
      <w:r w:rsidRPr="00B078AD">
        <w:rPr>
          <w:rFonts w:ascii="Calibri" w:hAnsi="Calibri" w:cs="Calibri"/>
          <w:i/>
          <w:iCs/>
        </w:rPr>
        <w:t>Learn more about FESPA’s sustainability proposition and ISO certification: </w:t>
      </w:r>
      <w:hyperlink r:id="rId11" w:tgtFrame="_blank" w:history="1">
        <w:r w:rsidRPr="00B078AD">
          <w:rPr>
            <w:rStyle w:val="Hyperlink"/>
            <w:rFonts w:ascii="Calibri" w:hAnsi="Calibri" w:cs="Calibri"/>
            <w:i/>
            <w:iCs/>
          </w:rPr>
          <w:t>https://europe.fespa.com/sustainability-fespa</w:t>
        </w:r>
      </w:hyperlink>
      <w:r w:rsidRPr="00B078AD">
        <w:rPr>
          <w:rFonts w:ascii="Calibri" w:hAnsi="Calibri" w:cs="Calibri"/>
        </w:rPr>
        <w:t> </w:t>
      </w:r>
    </w:p>
    <w:p w14:paraId="121A2819" w14:textId="42F54F52" w:rsidR="00B078AD" w:rsidRPr="00CF0371" w:rsidRDefault="00CF0371" w:rsidP="0013662B">
      <w:pPr>
        <w:spacing w:line="360" w:lineRule="auto"/>
        <w:rPr>
          <w:rFonts w:ascii="Calibri" w:hAnsi="Calibri" w:cs="Calibri"/>
          <w:i/>
          <w:iCs/>
        </w:rPr>
      </w:pPr>
      <w:r w:rsidRPr="00CF0371">
        <w:rPr>
          <w:rFonts w:ascii="Calibri" w:hAnsi="Calibri" w:cs="Calibri"/>
          <w:i/>
          <w:iCs/>
        </w:rPr>
        <w:t>Join our global speciality print network to get exclusive access to the Understanding and Avoiding Greenwash guide. Become a member today and join our network of over 14,000 members worldwide giving you access to the FESPA members platform. We have 37 national Associations, if your country is not listed, you will become a FESPA Direct member. </w:t>
      </w:r>
      <w:hyperlink r:id="rId12" w:history="1">
        <w:r w:rsidRPr="00CF0371">
          <w:rPr>
            <w:rStyle w:val="Hyperlink"/>
            <w:rFonts w:ascii="Calibri" w:hAnsi="Calibri" w:cs="Calibri"/>
            <w:i/>
            <w:iCs/>
          </w:rPr>
          <w:t>https://www.fespa.com/en/become-a-member/</w:t>
        </w:r>
      </w:hyperlink>
    </w:p>
    <w:p w14:paraId="389C72AF" w14:textId="24A9B42A" w:rsidR="00891A8B" w:rsidRDefault="00891A8B" w:rsidP="00891A8B">
      <w:pPr>
        <w:spacing w:line="360" w:lineRule="auto"/>
        <w:jc w:val="center"/>
        <w:rPr>
          <w:rFonts w:ascii="Calibri" w:hAnsi="Calibri" w:cs="Calibri"/>
          <w:b/>
          <w:bCs/>
        </w:rPr>
      </w:pPr>
      <w:r w:rsidRPr="00891A8B">
        <w:rPr>
          <w:rFonts w:ascii="Calibri" w:hAnsi="Calibri" w:cs="Calibri"/>
          <w:b/>
          <w:bCs/>
        </w:rPr>
        <w:t>ENDS</w:t>
      </w:r>
    </w:p>
    <w:p w14:paraId="2F6BA116"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eastAsia="en-GB"/>
          <w14:ligatures w14:val="none"/>
        </w:rPr>
        <w:t>About FESPA </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4F0F96CE" w14:textId="6CC00F36"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xml:space="preserve">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w:t>
      </w:r>
      <w:r w:rsidR="002E152C" w:rsidRPr="003874FF">
        <w:rPr>
          <w:rFonts w:ascii="Calibri" w:eastAsia="Times New Roman" w:hAnsi="Calibri" w:cs="Calibri"/>
          <w:kern w:val="0"/>
          <w:sz w:val="20"/>
          <w:szCs w:val="20"/>
          <w:lang w:eastAsia="en-GB"/>
          <w14:ligatures w14:val="none"/>
        </w:rPr>
        <w:t>fast-growing</w:t>
      </w:r>
      <w:r w:rsidRPr="003874FF">
        <w:rPr>
          <w:rFonts w:ascii="Calibri" w:eastAsia="Times New Roman" w:hAnsi="Calibri" w:cs="Calibri"/>
          <w:kern w:val="0"/>
          <w:sz w:val="20"/>
          <w:szCs w:val="20"/>
          <w:lang w:eastAsia="en-GB"/>
          <w14:ligatures w14:val="none"/>
        </w:rPr>
        <w:t xml:space="preserve"> industries.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24193BCF"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7718439F"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val="en-US" w:eastAsia="en-GB"/>
          <w14:ligatures w14:val="none"/>
        </w:rPr>
        <w:t>FESPA Profit for Purpose </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0"/>
          <w:szCs w:val="20"/>
          <w:lang w:eastAsia="en-GB"/>
          <w14:ligatures w14:val="none"/>
        </w:rPr>
        <w:br/>
        <w:t xml:space="preserve">Profit for Purpose is FESPA’s international reinvestment programme, which uses revenue from FESPA events to support the global speciality print community to achieve sustainable and profitable growth through four key </w:t>
      </w:r>
      <w:r w:rsidRPr="003874FF">
        <w:rPr>
          <w:rFonts w:ascii="Calibri" w:eastAsia="Times New Roman" w:hAnsi="Calibri" w:cs="Calibri"/>
          <w:kern w:val="0"/>
          <w:sz w:val="20"/>
          <w:szCs w:val="20"/>
          <w:lang w:eastAsia="en-GB"/>
          <w14:ligatures w14:val="none"/>
        </w:rPr>
        <w:lastRenderedPageBreak/>
        <w:t>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3" w:tgtFrame="_blank" w:history="1">
        <w:r w:rsidRPr="003874FF">
          <w:rPr>
            <w:rFonts w:ascii="Calibri" w:eastAsia="Times New Roman" w:hAnsi="Calibri" w:cs="Calibri"/>
            <w:color w:val="4472C4"/>
            <w:kern w:val="0"/>
            <w:sz w:val="20"/>
            <w:szCs w:val="20"/>
            <w:u w:val="single"/>
            <w:lang w:eastAsia="en-GB"/>
            <w14:ligatures w14:val="none"/>
          </w:rPr>
          <w:t>www.fespa.com/profit-for-purpose</w:t>
        </w:r>
      </w:hyperlink>
      <w:r w:rsidRPr="003874FF">
        <w:rPr>
          <w:rFonts w:ascii="Calibri" w:eastAsia="Times New Roman" w:hAnsi="Calibri" w:cs="Calibri"/>
          <w:i/>
          <w:iCs/>
          <w:kern w:val="0"/>
          <w:sz w:val="20"/>
          <w:szCs w:val="20"/>
          <w:lang w:eastAsia="en-GB"/>
          <w14:ligatures w14:val="none"/>
        </w:rPr>
        <w:t>. </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78E71947"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36DFFDA8" w14:textId="77777777" w:rsidR="00D82F6C" w:rsidRPr="00D82F6C" w:rsidRDefault="00D82F6C" w:rsidP="00D82F6C">
      <w:pPr>
        <w:spacing w:after="0" w:line="240" w:lineRule="auto"/>
        <w:jc w:val="both"/>
        <w:textAlignment w:val="baseline"/>
        <w:rPr>
          <w:rFonts w:ascii="Segoe UI" w:eastAsia="Times New Roman" w:hAnsi="Segoe UI" w:cs="Segoe UI"/>
          <w:kern w:val="0"/>
          <w:sz w:val="18"/>
          <w:szCs w:val="18"/>
          <w:lang w:eastAsia="en-GB"/>
          <w14:ligatures w14:val="none"/>
        </w:rPr>
      </w:pPr>
      <w:r w:rsidRPr="00D82F6C">
        <w:rPr>
          <w:rFonts w:ascii="Calibri" w:eastAsia="Times New Roman" w:hAnsi="Calibri" w:cs="Calibri"/>
          <w:b/>
          <w:bCs/>
          <w:kern w:val="0"/>
          <w:sz w:val="20"/>
          <w:szCs w:val="20"/>
          <w:lang w:eastAsia="en-GB"/>
          <w14:ligatures w14:val="none"/>
        </w:rPr>
        <w:t>Forthcoming FESPA events include:</w:t>
      </w:r>
      <w:r w:rsidRPr="00D82F6C">
        <w:rPr>
          <w:rFonts w:ascii="Calibri" w:eastAsia="Times New Roman" w:hAnsi="Calibri" w:cs="Calibri"/>
          <w:kern w:val="0"/>
          <w:sz w:val="20"/>
          <w:szCs w:val="20"/>
          <w:lang w:eastAsia="en-GB"/>
          <w14:ligatures w14:val="none"/>
        </w:rPr>
        <w:t> </w:t>
      </w:r>
      <w:r w:rsidRPr="00D82F6C">
        <w:rPr>
          <w:rFonts w:ascii="Calibri" w:eastAsia="Times New Roman" w:hAnsi="Calibri" w:cs="Calibri"/>
          <w:kern w:val="0"/>
          <w:sz w:val="24"/>
          <w:szCs w:val="24"/>
          <w:lang w:eastAsia="en-GB"/>
          <w14:ligatures w14:val="none"/>
        </w:rPr>
        <w:t> </w:t>
      </w:r>
      <w:r w:rsidRPr="00D82F6C">
        <w:rPr>
          <w:rFonts w:ascii="Calibri" w:eastAsia="Yu Gothic Light" w:hAnsi="Calibri" w:cs="Calibri"/>
          <w:kern w:val="0"/>
          <w:sz w:val="24"/>
          <w:szCs w:val="24"/>
          <w:lang w:eastAsia="en-GB"/>
          <w14:ligatures w14:val="none"/>
        </w:rPr>
        <w:t> </w:t>
      </w:r>
    </w:p>
    <w:p w14:paraId="54FBDF00" w14:textId="31232F8B" w:rsidR="00D82F6C" w:rsidRPr="00380941" w:rsidRDefault="00D82F6C" w:rsidP="00D82F6C">
      <w:pPr>
        <w:numPr>
          <w:ilvl w:val="0"/>
          <w:numId w:val="1"/>
        </w:numPr>
        <w:tabs>
          <w:tab w:val="num" w:pos="851"/>
        </w:tabs>
        <w:spacing w:after="0" w:line="240" w:lineRule="auto"/>
        <w:ind w:left="709" w:hanging="283"/>
        <w:jc w:val="both"/>
        <w:textAlignment w:val="baseline"/>
        <w:rPr>
          <w:rFonts w:ascii="Times New Roman" w:eastAsia="Times New Roman" w:hAnsi="Times New Roman" w:cs="Times New Roman"/>
          <w:kern w:val="0"/>
          <w:sz w:val="24"/>
          <w:szCs w:val="24"/>
          <w:lang w:val="es-MX" w:eastAsia="en-GB"/>
          <w14:ligatures w14:val="none"/>
        </w:rPr>
      </w:pPr>
      <w:r w:rsidRPr="00380941">
        <w:rPr>
          <w:rFonts w:ascii="Calibri" w:eastAsia="Times New Roman" w:hAnsi="Calibri" w:cs="Calibri"/>
          <w:kern w:val="0"/>
          <w:sz w:val="20"/>
          <w:szCs w:val="20"/>
          <w:lang w:val="es-MX" w:eastAsia="en-GB"/>
          <w14:ligatures w14:val="none"/>
        </w:rPr>
        <w:t xml:space="preserve">FESPA Global Print Expo 2026, 19 – 22 May 2026, </w:t>
      </w:r>
      <w:r w:rsidR="00B078AD">
        <w:rPr>
          <w:rFonts w:ascii="Calibri" w:eastAsia="Times New Roman" w:hAnsi="Calibri" w:cs="Calibri"/>
          <w:kern w:val="0"/>
          <w:sz w:val="20"/>
          <w:szCs w:val="20"/>
          <w:lang w:val="es-MX" w:eastAsia="en-GB"/>
          <w14:ligatures w14:val="none"/>
        </w:rPr>
        <w:t xml:space="preserve">Gran Via, </w:t>
      </w:r>
      <w:r w:rsidRPr="00380941">
        <w:rPr>
          <w:rFonts w:ascii="Calibri" w:eastAsia="Times New Roman" w:hAnsi="Calibri" w:cs="Calibri"/>
          <w:kern w:val="0"/>
          <w:sz w:val="20"/>
          <w:szCs w:val="20"/>
          <w:lang w:val="es-MX" w:eastAsia="en-GB"/>
          <w14:ligatures w14:val="none"/>
        </w:rPr>
        <w:t>Fira de Barcelona, Spain</w:t>
      </w:r>
    </w:p>
    <w:p w14:paraId="5DA6E1DC" w14:textId="68D32A08" w:rsidR="00D82F6C" w:rsidRPr="00380941"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val="es-MX" w:eastAsia="en-GB"/>
          <w14:ligatures w14:val="none"/>
        </w:rPr>
      </w:pPr>
      <w:r w:rsidRPr="00380941">
        <w:rPr>
          <w:rFonts w:ascii="Calibri" w:eastAsia="Times New Roman" w:hAnsi="Calibri" w:cs="Calibri"/>
          <w:kern w:val="0"/>
          <w:sz w:val="20"/>
          <w:szCs w:val="20"/>
          <w:lang w:val="es-MX" w:eastAsia="en-GB"/>
          <w14:ligatures w14:val="none"/>
        </w:rPr>
        <w:t xml:space="preserve">European </w:t>
      </w:r>
      <w:proofErr w:type="spellStart"/>
      <w:r w:rsidRPr="00380941">
        <w:rPr>
          <w:rFonts w:ascii="Calibri" w:eastAsia="Times New Roman" w:hAnsi="Calibri" w:cs="Calibri"/>
          <w:kern w:val="0"/>
          <w:sz w:val="20"/>
          <w:szCs w:val="20"/>
          <w:lang w:val="es-MX" w:eastAsia="en-GB"/>
          <w14:ligatures w14:val="none"/>
        </w:rPr>
        <w:t>Sign</w:t>
      </w:r>
      <w:proofErr w:type="spellEnd"/>
      <w:r w:rsidRPr="00380941">
        <w:rPr>
          <w:rFonts w:ascii="Calibri" w:eastAsia="Times New Roman" w:hAnsi="Calibri" w:cs="Calibri"/>
          <w:kern w:val="0"/>
          <w:sz w:val="20"/>
          <w:szCs w:val="20"/>
          <w:lang w:val="es-MX" w:eastAsia="en-GB"/>
          <w14:ligatures w14:val="none"/>
        </w:rPr>
        <w:t xml:space="preserve"> Expo 2026, 19 – 22 May 2026, </w:t>
      </w:r>
      <w:r w:rsidR="00B078AD">
        <w:rPr>
          <w:rFonts w:ascii="Calibri" w:eastAsia="Times New Roman" w:hAnsi="Calibri" w:cs="Calibri"/>
          <w:kern w:val="0"/>
          <w:sz w:val="20"/>
          <w:szCs w:val="20"/>
          <w:lang w:val="es-MX" w:eastAsia="en-GB"/>
          <w14:ligatures w14:val="none"/>
        </w:rPr>
        <w:t xml:space="preserve">Gran Via, </w:t>
      </w:r>
      <w:r w:rsidRPr="00380941">
        <w:rPr>
          <w:rFonts w:ascii="Calibri" w:eastAsia="Times New Roman" w:hAnsi="Calibri" w:cs="Calibri"/>
          <w:kern w:val="0"/>
          <w:sz w:val="20"/>
          <w:szCs w:val="20"/>
          <w:lang w:val="es-MX" w:eastAsia="en-GB"/>
          <w14:ligatures w14:val="none"/>
        </w:rPr>
        <w:t>Fira de Barcelona, Spain</w:t>
      </w:r>
    </w:p>
    <w:p w14:paraId="66338D1C" w14:textId="08007244" w:rsidR="00D82F6C" w:rsidRPr="00D82F6C"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eastAsia="en-GB"/>
          <w14:ligatures w14:val="none"/>
        </w:rPr>
      </w:pPr>
      <w:r w:rsidRPr="00D82F6C">
        <w:rPr>
          <w:rFonts w:ascii="Calibri" w:eastAsia="Times New Roman" w:hAnsi="Calibri" w:cs="Calibri"/>
          <w:color w:val="000000"/>
          <w:kern w:val="0"/>
          <w:sz w:val="20"/>
          <w:szCs w:val="20"/>
          <w:lang w:eastAsia="en-GB"/>
          <w14:ligatures w14:val="none"/>
        </w:rPr>
        <w:t xml:space="preserve">Personalisation Experience 2026, </w:t>
      </w:r>
      <w:r w:rsidRPr="00D82F6C">
        <w:rPr>
          <w:rFonts w:ascii="Calibri" w:eastAsia="Times New Roman" w:hAnsi="Calibri" w:cs="Calibri"/>
          <w:kern w:val="0"/>
          <w:sz w:val="20"/>
          <w:szCs w:val="20"/>
          <w:lang w:eastAsia="en-GB"/>
          <w14:ligatures w14:val="none"/>
        </w:rPr>
        <w:t xml:space="preserve">19 – 22 May 2026, </w:t>
      </w:r>
      <w:r w:rsidR="00B078AD">
        <w:rPr>
          <w:rFonts w:ascii="Calibri" w:eastAsia="Times New Roman" w:hAnsi="Calibri" w:cs="Calibri"/>
          <w:kern w:val="0"/>
          <w:sz w:val="20"/>
          <w:szCs w:val="20"/>
          <w:lang w:val="es-MX" w:eastAsia="en-GB"/>
          <w14:ligatures w14:val="none"/>
        </w:rPr>
        <w:t xml:space="preserve">Gran Via, </w:t>
      </w:r>
      <w:r w:rsidRPr="00D82F6C">
        <w:rPr>
          <w:rFonts w:ascii="Calibri" w:eastAsia="Times New Roman" w:hAnsi="Calibri" w:cs="Calibri"/>
          <w:kern w:val="0"/>
          <w:sz w:val="20"/>
          <w:szCs w:val="20"/>
          <w:lang w:eastAsia="en-GB"/>
          <w14:ligatures w14:val="none"/>
        </w:rPr>
        <w:t>Fira de Barcelona, Spain</w:t>
      </w:r>
    </w:p>
    <w:p w14:paraId="62B9635B" w14:textId="142C49C3" w:rsidR="00D82F6C" w:rsidRPr="00D82F6C"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eastAsia="en-GB"/>
          <w14:ligatures w14:val="none"/>
        </w:rPr>
      </w:pPr>
      <w:r w:rsidRPr="00D82F6C">
        <w:rPr>
          <w:rFonts w:ascii="Calibri" w:eastAsia="Times New Roman" w:hAnsi="Calibri" w:cs="Calibri"/>
          <w:kern w:val="0"/>
          <w:sz w:val="20"/>
          <w:szCs w:val="20"/>
          <w:lang w:eastAsia="en-GB"/>
          <w14:ligatures w14:val="none"/>
        </w:rPr>
        <w:t xml:space="preserve">Corrugated 2026, 19 – 22 May 2026, </w:t>
      </w:r>
      <w:r w:rsidR="00B078AD">
        <w:rPr>
          <w:rFonts w:ascii="Calibri" w:eastAsia="Times New Roman" w:hAnsi="Calibri" w:cs="Calibri"/>
          <w:kern w:val="0"/>
          <w:sz w:val="20"/>
          <w:szCs w:val="20"/>
          <w:lang w:val="es-MX" w:eastAsia="en-GB"/>
          <w14:ligatures w14:val="none"/>
        </w:rPr>
        <w:t xml:space="preserve">Gran Via, </w:t>
      </w:r>
      <w:r w:rsidRPr="00D82F6C">
        <w:rPr>
          <w:rFonts w:ascii="Calibri" w:eastAsia="Times New Roman" w:hAnsi="Calibri" w:cs="Calibri"/>
          <w:kern w:val="0"/>
          <w:sz w:val="20"/>
          <w:szCs w:val="20"/>
          <w:lang w:eastAsia="en-GB"/>
          <w14:ligatures w14:val="none"/>
        </w:rPr>
        <w:t>Fira de Barcelona, Spain</w:t>
      </w:r>
    </w:p>
    <w:p w14:paraId="7D258162" w14:textId="02167404" w:rsidR="00D82F6C" w:rsidRPr="00380941"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val="es-MX" w:eastAsia="en-GB"/>
          <w14:ligatures w14:val="none"/>
        </w:rPr>
      </w:pPr>
      <w:proofErr w:type="spellStart"/>
      <w:r w:rsidRPr="00380941">
        <w:rPr>
          <w:rFonts w:ascii="Calibri" w:eastAsia="Times New Roman" w:hAnsi="Calibri" w:cs="Calibri"/>
          <w:kern w:val="0"/>
          <w:sz w:val="20"/>
          <w:szCs w:val="20"/>
          <w:lang w:val="es-MX" w:eastAsia="en-GB"/>
          <w14:ligatures w14:val="none"/>
        </w:rPr>
        <w:t>Textile</w:t>
      </w:r>
      <w:proofErr w:type="spellEnd"/>
      <w:r w:rsidRPr="00380941">
        <w:rPr>
          <w:rFonts w:ascii="Calibri" w:eastAsia="Times New Roman" w:hAnsi="Calibri" w:cs="Calibri"/>
          <w:kern w:val="0"/>
          <w:sz w:val="20"/>
          <w:szCs w:val="20"/>
          <w:lang w:val="es-MX" w:eastAsia="en-GB"/>
          <w14:ligatures w14:val="none"/>
        </w:rPr>
        <w:t xml:space="preserve"> 2026, 19 – 22 May 2026, </w:t>
      </w:r>
      <w:r w:rsidR="00B078AD">
        <w:rPr>
          <w:rFonts w:ascii="Calibri" w:eastAsia="Times New Roman" w:hAnsi="Calibri" w:cs="Calibri"/>
          <w:kern w:val="0"/>
          <w:sz w:val="20"/>
          <w:szCs w:val="20"/>
          <w:lang w:val="es-MX" w:eastAsia="en-GB"/>
          <w14:ligatures w14:val="none"/>
        </w:rPr>
        <w:t xml:space="preserve">Gran Via, </w:t>
      </w:r>
      <w:r w:rsidRPr="00380941">
        <w:rPr>
          <w:rFonts w:ascii="Calibri" w:eastAsia="Times New Roman" w:hAnsi="Calibri" w:cs="Calibri"/>
          <w:kern w:val="0"/>
          <w:sz w:val="20"/>
          <w:szCs w:val="20"/>
          <w:lang w:val="es-MX" w:eastAsia="en-GB"/>
          <w14:ligatures w14:val="none"/>
        </w:rPr>
        <w:t>Fira de Barcelona, Spain</w:t>
      </w:r>
    </w:p>
    <w:p w14:paraId="5E2A09CE" w14:textId="77777777" w:rsidR="006420CD" w:rsidRPr="003874FF" w:rsidRDefault="006420CD" w:rsidP="006420CD">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Yu Gothic Light" w:hAnsi="Calibri" w:cs="Calibri"/>
          <w:kern w:val="0"/>
          <w:sz w:val="20"/>
          <w:szCs w:val="20"/>
          <w:lang w:eastAsia="en-GB"/>
          <w14:ligatures w14:val="none"/>
        </w:rPr>
        <w:t> </w:t>
      </w:r>
    </w:p>
    <w:p w14:paraId="0DC703F9" w14:textId="77777777"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eastAsia="en-GB"/>
          <w14:ligatures w14:val="none"/>
        </w:rPr>
        <w:t>Issued on behalf of FESPA by AD Communications</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26F01CA8" w14:textId="77777777"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64883185" w14:textId="77777777"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eastAsia="en-GB"/>
          <w14:ligatures w14:val="none"/>
        </w:rPr>
        <w:t>For further information, please contact:</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57E0A903" w14:textId="2C1BCF29"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Rachelle Harry</w:t>
      </w:r>
      <w:r w:rsidRPr="003874FF">
        <w:rPr>
          <w:rFonts w:ascii="Calibri" w:eastAsia="Yu Gothic Light" w:hAnsi="Calibri" w:cs="Calibri"/>
          <w:kern w:val="0"/>
          <w:sz w:val="20"/>
          <w:szCs w:val="20"/>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00CF0371" w:rsidRPr="00CF0371">
        <w:rPr>
          <w:rFonts w:ascii="Calibri" w:eastAsia="Times New Roman" w:hAnsi="Calibri" w:cs="Calibri"/>
          <w:kern w:val="0"/>
          <w:sz w:val="20"/>
          <w:szCs w:val="20"/>
          <w:lang w:eastAsia="en-GB"/>
          <w14:ligatures w14:val="none"/>
        </w:rPr>
        <w:t>Caroline Bissell </w:t>
      </w:r>
    </w:p>
    <w:p w14:paraId="60C0AEEE" w14:textId="77777777" w:rsidR="006420CD" w:rsidRPr="003874FF" w:rsidRDefault="006420CD" w:rsidP="006420CD">
      <w:pPr>
        <w:spacing w:after="0" w:line="240" w:lineRule="auto"/>
        <w:jc w:val="both"/>
        <w:textAlignment w:val="baseline"/>
        <w:rPr>
          <w:rFonts w:ascii="Calibri" w:eastAsia="Yu Gothic Light" w:hAnsi="Calibri" w:cs="Calibri"/>
          <w:kern w:val="0"/>
          <w:sz w:val="20"/>
          <w:szCs w:val="20"/>
          <w:lang w:eastAsia="en-GB"/>
          <w14:ligatures w14:val="none"/>
        </w:rPr>
      </w:pPr>
      <w:r w:rsidRPr="003874FF">
        <w:rPr>
          <w:rFonts w:ascii="Calibri" w:eastAsia="Times New Roman" w:hAnsi="Calibri" w:cs="Calibri"/>
          <w:kern w:val="0"/>
          <w:sz w:val="20"/>
          <w:szCs w:val="20"/>
          <w:lang w:eastAsia="en-GB"/>
          <w14:ligatures w14:val="none"/>
        </w:rPr>
        <w:t>AD Communications</w:t>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Times New Roman" w:hAnsi="Calibri" w:cs="Calibri"/>
          <w:kern w:val="0"/>
          <w:sz w:val="20"/>
          <w:szCs w:val="20"/>
          <w:lang w:eastAsia="en-GB"/>
          <w14:ligatures w14:val="none"/>
        </w:rPr>
        <w:t>FESPA</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5B03CE4E" w14:textId="2DBDC439" w:rsidR="006420CD" w:rsidRPr="00CF0371" w:rsidRDefault="006420CD" w:rsidP="006420CD">
      <w:pPr>
        <w:spacing w:after="0" w:line="240" w:lineRule="auto"/>
        <w:jc w:val="both"/>
        <w:textAlignment w:val="baseline"/>
        <w:rPr>
          <w:rFonts w:ascii="Calibri" w:eastAsia="Times New Roman" w:hAnsi="Calibri" w:cs="Calibri"/>
          <w:kern w:val="0"/>
          <w:sz w:val="20"/>
          <w:szCs w:val="20"/>
          <w:lang w:eastAsia="en-GB"/>
          <w14:ligatures w14:val="none"/>
        </w:rPr>
      </w:pPr>
      <w:r w:rsidRPr="00BC0653">
        <w:rPr>
          <w:rFonts w:ascii="Calibri" w:eastAsia="Times New Roman" w:hAnsi="Calibri" w:cs="Calibri"/>
          <w:kern w:val="0"/>
          <w:sz w:val="20"/>
          <w:szCs w:val="20"/>
          <w:lang w:eastAsia="en-GB"/>
          <w14:ligatures w14:val="none"/>
        </w:rPr>
        <w:t xml:space="preserve">Tel: + 44 (0) 1372 464470        </w:t>
      </w:r>
      <w:r w:rsidRPr="00BC0653">
        <w:rPr>
          <w:rFonts w:ascii="Calibri" w:eastAsia="Yu Gothic Light" w:hAnsi="Calibri" w:cs="Calibri"/>
          <w:kern w:val="0"/>
          <w:sz w:val="20"/>
          <w:szCs w:val="20"/>
          <w:lang w:eastAsia="en-GB"/>
          <w14:ligatures w14:val="none"/>
        </w:rPr>
        <w:tab/>
      </w:r>
      <w:r w:rsidRPr="00BC0653">
        <w:rPr>
          <w:rFonts w:ascii="Calibri" w:eastAsia="Yu Gothic Light" w:hAnsi="Calibri" w:cs="Calibri"/>
          <w:kern w:val="0"/>
          <w:sz w:val="24"/>
          <w:szCs w:val="24"/>
          <w:lang w:eastAsia="en-GB"/>
          <w14:ligatures w14:val="none"/>
        </w:rPr>
        <w:tab/>
      </w:r>
      <w:r w:rsidRPr="00BC0653">
        <w:rPr>
          <w:rFonts w:ascii="Calibri" w:eastAsia="Times New Roman" w:hAnsi="Calibri" w:cs="Calibri"/>
          <w:kern w:val="0"/>
          <w:sz w:val="20"/>
          <w:szCs w:val="20"/>
          <w:lang w:eastAsia="en-GB"/>
          <w14:ligatures w14:val="none"/>
        </w:rPr>
        <w:t xml:space="preserve">Tel: </w:t>
      </w:r>
      <w:r w:rsidR="00CF0371" w:rsidRPr="00CF0371">
        <w:rPr>
          <w:rFonts w:ascii="Calibri" w:eastAsia="Times New Roman" w:hAnsi="Calibri" w:cs="Calibri"/>
          <w:kern w:val="0"/>
          <w:sz w:val="20"/>
          <w:szCs w:val="20"/>
          <w:lang w:eastAsia="en-GB"/>
          <w14:ligatures w14:val="none"/>
        </w:rPr>
        <w:t>+44 (0) 1737 228160</w:t>
      </w:r>
    </w:p>
    <w:p w14:paraId="3C0E6B1D" w14:textId="3213F6F1" w:rsidR="006420CD" w:rsidRPr="00CF0371" w:rsidRDefault="006420CD" w:rsidP="006420CD">
      <w:pPr>
        <w:spacing w:after="0" w:line="240" w:lineRule="auto"/>
        <w:jc w:val="both"/>
        <w:textAlignment w:val="baseline"/>
        <w:rPr>
          <w:rFonts w:ascii="Calibri" w:hAnsi="Calibri" w:cs="Calibri"/>
          <w:sz w:val="20"/>
          <w:szCs w:val="20"/>
        </w:rPr>
      </w:pPr>
      <w:r w:rsidRPr="00CF0371">
        <w:rPr>
          <w:rFonts w:ascii="Calibri" w:eastAsia="Times New Roman" w:hAnsi="Calibri" w:cs="Calibri"/>
          <w:kern w:val="0"/>
          <w:sz w:val="20"/>
          <w:szCs w:val="20"/>
          <w:lang w:eastAsia="en-GB"/>
          <w14:ligatures w14:val="none"/>
        </w:rPr>
        <w:t xml:space="preserve">Email: </w:t>
      </w:r>
      <w:hyperlink r:id="rId14" w:history="1">
        <w:r w:rsidRPr="00CF0371">
          <w:rPr>
            <w:rFonts w:ascii="Calibri" w:eastAsia="Yu Gothic Light" w:hAnsi="Calibri" w:cs="Calibri"/>
            <w:color w:val="0070C0"/>
            <w:kern w:val="0"/>
            <w:sz w:val="20"/>
            <w:szCs w:val="20"/>
            <w:u w:val="single"/>
            <w:lang w:eastAsia="en-GB"/>
            <w14:ligatures w14:val="none"/>
          </w:rPr>
          <w:t>rharry@adcomms.co.uk</w:t>
        </w:r>
      </w:hyperlink>
      <w:r w:rsidRPr="00CF0371">
        <w:rPr>
          <w:rFonts w:ascii="Calibri" w:eastAsia="Yu Gothic Light" w:hAnsi="Calibri" w:cs="Calibri"/>
          <w:color w:val="0563C1"/>
          <w:kern w:val="0"/>
          <w:sz w:val="20"/>
          <w:szCs w:val="20"/>
          <w:lang w:eastAsia="en-GB"/>
          <w14:ligatures w14:val="none"/>
        </w:rPr>
        <w:tab/>
      </w:r>
      <w:r w:rsidRPr="00CF0371">
        <w:rPr>
          <w:rFonts w:ascii="Calibri" w:eastAsia="Yu Gothic Light" w:hAnsi="Calibri" w:cs="Calibri"/>
          <w:kern w:val="0"/>
          <w:sz w:val="20"/>
          <w:szCs w:val="20"/>
          <w:lang w:eastAsia="en-GB"/>
          <w14:ligatures w14:val="none"/>
        </w:rPr>
        <w:tab/>
      </w:r>
      <w:r w:rsidRPr="00CF0371">
        <w:rPr>
          <w:rFonts w:ascii="Calibri" w:eastAsia="Times New Roman" w:hAnsi="Calibri" w:cs="Calibri"/>
          <w:kern w:val="0"/>
          <w:sz w:val="20"/>
          <w:szCs w:val="20"/>
          <w:lang w:eastAsia="en-GB"/>
          <w14:ligatures w14:val="none"/>
        </w:rPr>
        <w:t xml:space="preserve">Email: </w:t>
      </w:r>
      <w:hyperlink r:id="rId15" w:history="1">
        <w:r w:rsidR="00CF0371" w:rsidRPr="00CF0371">
          <w:rPr>
            <w:rStyle w:val="Hyperlink"/>
            <w:rFonts w:ascii="Calibri" w:hAnsi="Calibri" w:cs="Calibri"/>
            <w:sz w:val="20"/>
            <w:szCs w:val="20"/>
          </w:rPr>
          <w:t>Caroline.Bissell@fespa.com</w:t>
        </w:r>
      </w:hyperlink>
      <w:r w:rsidR="00CF0371" w:rsidRPr="00CF0371">
        <w:rPr>
          <w:rFonts w:ascii="Calibri" w:hAnsi="Calibri" w:cs="Calibri"/>
          <w:sz w:val="20"/>
          <w:szCs w:val="20"/>
        </w:rPr>
        <w:t>   </w:t>
      </w:r>
      <w:r w:rsidRPr="00CF0371">
        <w:rPr>
          <w:rFonts w:ascii="Calibri" w:eastAsia="Times New Roman" w:hAnsi="Calibri" w:cs="Calibri"/>
          <w:color w:val="0070C0"/>
          <w:kern w:val="0"/>
          <w:sz w:val="20"/>
          <w:szCs w:val="20"/>
          <w:lang w:eastAsia="en-GB"/>
          <w14:ligatures w14:val="none"/>
        </w:rPr>
        <w:t xml:space="preserve">     </w:t>
      </w:r>
      <w:r w:rsidRPr="00CF0371">
        <w:rPr>
          <w:rFonts w:ascii="Calibri" w:eastAsia="Yu Gothic Light" w:hAnsi="Calibri" w:cs="Calibri"/>
          <w:color w:val="0070C0"/>
          <w:kern w:val="0"/>
          <w:sz w:val="20"/>
          <w:szCs w:val="20"/>
          <w:lang w:eastAsia="en-GB"/>
          <w14:ligatures w14:val="none"/>
        </w:rPr>
        <w:t> </w:t>
      </w:r>
    </w:p>
    <w:p w14:paraId="10301D24" w14:textId="77777777" w:rsidR="006420CD" w:rsidRPr="00CF0371" w:rsidRDefault="006420CD" w:rsidP="006420CD">
      <w:pPr>
        <w:shd w:val="clear" w:color="auto" w:fill="FFFFFF"/>
        <w:spacing w:after="0" w:line="240" w:lineRule="auto"/>
        <w:textAlignment w:val="baseline"/>
        <w:rPr>
          <w:rFonts w:ascii="Calibri" w:eastAsia="Times New Roman" w:hAnsi="Calibri" w:cs="Calibri"/>
          <w:kern w:val="0"/>
          <w:sz w:val="20"/>
          <w:szCs w:val="20"/>
          <w:lang w:eastAsia="en-GB"/>
          <w14:ligatures w14:val="none"/>
        </w:rPr>
      </w:pPr>
      <w:r w:rsidRPr="00CF0371">
        <w:rPr>
          <w:rFonts w:ascii="Calibri" w:eastAsia="Times New Roman" w:hAnsi="Calibri" w:cs="Calibri"/>
          <w:kern w:val="0"/>
          <w:sz w:val="20"/>
          <w:szCs w:val="20"/>
          <w:lang w:eastAsia="en-GB"/>
          <w14:ligatures w14:val="none"/>
        </w:rPr>
        <w:t xml:space="preserve">Website: </w:t>
      </w:r>
      <w:hyperlink r:id="rId16" w:tgtFrame="_blank" w:history="1">
        <w:r w:rsidRPr="00CF0371">
          <w:rPr>
            <w:rFonts w:ascii="Calibri" w:eastAsia="Times New Roman" w:hAnsi="Calibri" w:cs="Calibri"/>
            <w:color w:val="4472C4"/>
            <w:kern w:val="0"/>
            <w:sz w:val="20"/>
            <w:szCs w:val="20"/>
            <w:u w:val="single"/>
            <w:lang w:eastAsia="en-GB"/>
            <w14:ligatures w14:val="none"/>
          </w:rPr>
          <w:t>www.adcomms.co.uk</w:t>
        </w:r>
      </w:hyperlink>
      <w:r w:rsidRPr="00CF0371">
        <w:rPr>
          <w:rFonts w:ascii="Calibri" w:eastAsia="Yu Gothic Light" w:hAnsi="Calibri" w:cs="Calibri"/>
          <w:color w:val="4472C4"/>
          <w:kern w:val="0"/>
          <w:sz w:val="20"/>
          <w:szCs w:val="20"/>
          <w:lang w:eastAsia="en-GB"/>
          <w14:ligatures w14:val="none"/>
        </w:rPr>
        <w:tab/>
      </w:r>
      <w:r w:rsidRPr="00CF0371">
        <w:rPr>
          <w:rFonts w:ascii="Calibri" w:eastAsia="Yu Gothic Light" w:hAnsi="Calibri" w:cs="Calibri"/>
          <w:kern w:val="0"/>
          <w:sz w:val="20"/>
          <w:szCs w:val="20"/>
          <w:lang w:eastAsia="en-GB"/>
          <w14:ligatures w14:val="none"/>
        </w:rPr>
        <w:tab/>
      </w:r>
      <w:r w:rsidRPr="00CF0371">
        <w:rPr>
          <w:rFonts w:ascii="Calibri" w:eastAsia="Times New Roman" w:hAnsi="Calibri" w:cs="Calibri"/>
          <w:kern w:val="0"/>
          <w:sz w:val="20"/>
          <w:szCs w:val="20"/>
          <w:lang w:eastAsia="en-GB"/>
          <w14:ligatures w14:val="none"/>
        </w:rPr>
        <w:t xml:space="preserve">Website: </w:t>
      </w:r>
      <w:hyperlink r:id="rId17" w:tgtFrame="_blank" w:history="1">
        <w:r w:rsidRPr="00CF0371">
          <w:rPr>
            <w:rFonts w:ascii="Calibri" w:eastAsia="Times New Roman" w:hAnsi="Calibri" w:cs="Calibri"/>
            <w:color w:val="4472C4"/>
            <w:kern w:val="0"/>
            <w:sz w:val="20"/>
            <w:szCs w:val="20"/>
            <w:u w:val="single"/>
            <w:lang w:eastAsia="en-GB"/>
            <w14:ligatures w14:val="none"/>
          </w:rPr>
          <w:t>www.fespa.com</w:t>
        </w:r>
      </w:hyperlink>
      <w:r w:rsidRPr="00CF0371">
        <w:rPr>
          <w:rFonts w:ascii="Calibri" w:eastAsia="Times New Roman" w:hAnsi="Calibri" w:cs="Calibri"/>
          <w:color w:val="4472C4"/>
          <w:kern w:val="0"/>
          <w:sz w:val="20"/>
          <w:szCs w:val="20"/>
          <w:lang w:eastAsia="en-GB"/>
          <w14:ligatures w14:val="none"/>
        </w:rPr>
        <w:t> </w:t>
      </w:r>
      <w:r w:rsidRPr="00CF0371">
        <w:rPr>
          <w:rFonts w:ascii="Calibri" w:eastAsia="Yu Gothic Light" w:hAnsi="Calibri" w:cs="Calibri"/>
          <w:color w:val="4472C4"/>
          <w:kern w:val="0"/>
          <w:sz w:val="20"/>
          <w:szCs w:val="20"/>
          <w:lang w:eastAsia="en-GB"/>
          <w14:ligatures w14:val="none"/>
        </w:rPr>
        <w:t> </w:t>
      </w:r>
    </w:p>
    <w:p w14:paraId="337F22ED" w14:textId="77777777" w:rsidR="006420CD" w:rsidRPr="00891A8B" w:rsidRDefault="006420CD" w:rsidP="00891A8B">
      <w:pPr>
        <w:spacing w:line="360" w:lineRule="auto"/>
        <w:jc w:val="center"/>
        <w:rPr>
          <w:rFonts w:ascii="Calibri" w:hAnsi="Calibri" w:cs="Calibri"/>
          <w:b/>
          <w:bCs/>
        </w:rPr>
      </w:pPr>
    </w:p>
    <w:sectPr w:rsidR="006420CD" w:rsidRPr="00891A8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E675" w14:textId="77777777" w:rsidR="00B54994" w:rsidRDefault="00B54994" w:rsidP="00C77C8C">
      <w:pPr>
        <w:spacing w:after="0" w:line="240" w:lineRule="auto"/>
      </w:pPr>
      <w:r>
        <w:separator/>
      </w:r>
    </w:p>
  </w:endnote>
  <w:endnote w:type="continuationSeparator" w:id="0">
    <w:p w14:paraId="2AEEA8AE" w14:textId="77777777" w:rsidR="00B54994" w:rsidRDefault="00B54994" w:rsidP="00C7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120B" w14:textId="77777777" w:rsidR="00B54994" w:rsidRDefault="00B54994" w:rsidP="00C77C8C">
      <w:pPr>
        <w:spacing w:after="0" w:line="240" w:lineRule="auto"/>
      </w:pPr>
      <w:r>
        <w:separator/>
      </w:r>
    </w:p>
  </w:footnote>
  <w:footnote w:type="continuationSeparator" w:id="0">
    <w:p w14:paraId="7D449450" w14:textId="77777777" w:rsidR="00B54994" w:rsidRDefault="00B54994" w:rsidP="00C7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E40A" w14:textId="77777777" w:rsidR="00C77C8C" w:rsidRDefault="00C7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7BB"/>
    <w:multiLevelType w:val="multilevel"/>
    <w:tmpl w:val="E9D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26385"/>
    <w:multiLevelType w:val="multilevel"/>
    <w:tmpl w:val="4F36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C7AA1"/>
    <w:multiLevelType w:val="multilevel"/>
    <w:tmpl w:val="B0A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092D44"/>
    <w:multiLevelType w:val="multilevel"/>
    <w:tmpl w:val="A18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FD6384"/>
    <w:multiLevelType w:val="multilevel"/>
    <w:tmpl w:val="025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E500F0"/>
    <w:multiLevelType w:val="hybridMultilevel"/>
    <w:tmpl w:val="5850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5086357">
    <w:abstractNumId w:val="7"/>
  </w:num>
  <w:num w:numId="2" w16cid:durableId="37439284">
    <w:abstractNumId w:val="4"/>
  </w:num>
  <w:num w:numId="3" w16cid:durableId="1043015301">
    <w:abstractNumId w:val="6"/>
  </w:num>
  <w:num w:numId="4" w16cid:durableId="1009530176">
    <w:abstractNumId w:val="5"/>
  </w:num>
  <w:num w:numId="5" w16cid:durableId="1903709696">
    <w:abstractNumId w:val="0"/>
  </w:num>
  <w:num w:numId="6" w16cid:durableId="614793786">
    <w:abstractNumId w:val="2"/>
  </w:num>
  <w:num w:numId="7" w16cid:durableId="2047101044">
    <w:abstractNumId w:val="1"/>
  </w:num>
  <w:num w:numId="8" w16cid:durableId="202185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358B5"/>
    <w:rsid w:val="00060FBC"/>
    <w:rsid w:val="00086E49"/>
    <w:rsid w:val="000C40A3"/>
    <w:rsid w:val="000C7961"/>
    <w:rsid w:val="001328A4"/>
    <w:rsid w:val="0013662B"/>
    <w:rsid w:val="0016592D"/>
    <w:rsid w:val="00217438"/>
    <w:rsid w:val="00221FBA"/>
    <w:rsid w:val="00227730"/>
    <w:rsid w:val="00232485"/>
    <w:rsid w:val="00257591"/>
    <w:rsid w:val="002E152C"/>
    <w:rsid w:val="002E5895"/>
    <w:rsid w:val="003079B3"/>
    <w:rsid w:val="00380941"/>
    <w:rsid w:val="003D2AAD"/>
    <w:rsid w:val="003F2A1B"/>
    <w:rsid w:val="00404639"/>
    <w:rsid w:val="0041127C"/>
    <w:rsid w:val="00453F87"/>
    <w:rsid w:val="0045594D"/>
    <w:rsid w:val="0046633C"/>
    <w:rsid w:val="00483561"/>
    <w:rsid w:val="004A5029"/>
    <w:rsid w:val="004C3ABF"/>
    <w:rsid w:val="004E2FA6"/>
    <w:rsid w:val="00536E9C"/>
    <w:rsid w:val="0057398F"/>
    <w:rsid w:val="005D42FB"/>
    <w:rsid w:val="006420CD"/>
    <w:rsid w:val="00681A06"/>
    <w:rsid w:val="006D3221"/>
    <w:rsid w:val="007D7752"/>
    <w:rsid w:val="007F5125"/>
    <w:rsid w:val="00840EB9"/>
    <w:rsid w:val="008411CF"/>
    <w:rsid w:val="008521B1"/>
    <w:rsid w:val="00867EFF"/>
    <w:rsid w:val="008724B9"/>
    <w:rsid w:val="00891A8B"/>
    <w:rsid w:val="00896F90"/>
    <w:rsid w:val="008C2EBB"/>
    <w:rsid w:val="008C773C"/>
    <w:rsid w:val="008D3654"/>
    <w:rsid w:val="008D52A0"/>
    <w:rsid w:val="0090442F"/>
    <w:rsid w:val="00917E63"/>
    <w:rsid w:val="00941168"/>
    <w:rsid w:val="00957371"/>
    <w:rsid w:val="009E4645"/>
    <w:rsid w:val="00A52177"/>
    <w:rsid w:val="00A60037"/>
    <w:rsid w:val="00A85C4A"/>
    <w:rsid w:val="00A9336F"/>
    <w:rsid w:val="00AE1D23"/>
    <w:rsid w:val="00AE448E"/>
    <w:rsid w:val="00B078AD"/>
    <w:rsid w:val="00B4278B"/>
    <w:rsid w:val="00B54994"/>
    <w:rsid w:val="00B80F0A"/>
    <w:rsid w:val="00BC0653"/>
    <w:rsid w:val="00BD4BA9"/>
    <w:rsid w:val="00BE10B1"/>
    <w:rsid w:val="00BF4B58"/>
    <w:rsid w:val="00C5633E"/>
    <w:rsid w:val="00C606BE"/>
    <w:rsid w:val="00C66D8F"/>
    <w:rsid w:val="00C77C8C"/>
    <w:rsid w:val="00CA14C4"/>
    <w:rsid w:val="00CC403F"/>
    <w:rsid w:val="00CF0371"/>
    <w:rsid w:val="00CF2F36"/>
    <w:rsid w:val="00CF3BE6"/>
    <w:rsid w:val="00D31D53"/>
    <w:rsid w:val="00D35CC9"/>
    <w:rsid w:val="00D631BE"/>
    <w:rsid w:val="00D82F6C"/>
    <w:rsid w:val="00DD5109"/>
    <w:rsid w:val="00E06E58"/>
    <w:rsid w:val="00E6540A"/>
    <w:rsid w:val="00E7729C"/>
    <w:rsid w:val="00ED4028"/>
    <w:rsid w:val="00F01769"/>
    <w:rsid w:val="00FB450B"/>
    <w:rsid w:val="00FF301B"/>
    <w:rsid w:val="12AC62BE"/>
    <w:rsid w:val="1B6AC05C"/>
    <w:rsid w:val="1C1A0B72"/>
    <w:rsid w:val="21673C67"/>
    <w:rsid w:val="2B0A1FA6"/>
    <w:rsid w:val="328DC9C4"/>
    <w:rsid w:val="3D7133DF"/>
    <w:rsid w:val="40F59BAC"/>
    <w:rsid w:val="5466005D"/>
    <w:rsid w:val="5654F902"/>
    <w:rsid w:val="5E01F711"/>
    <w:rsid w:val="77F6E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A3642B6A-CD94-4117-8C12-76D86581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 w:type="paragraph" w:styleId="Header">
    <w:name w:val="header"/>
    <w:basedOn w:val="Normal"/>
    <w:link w:val="HeaderChar"/>
    <w:uiPriority w:val="99"/>
    <w:unhideWhenUsed/>
    <w:rsid w:val="00C7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C8C"/>
  </w:style>
  <w:style w:type="paragraph" w:styleId="Footer">
    <w:name w:val="footer"/>
    <w:basedOn w:val="Normal"/>
    <w:link w:val="FooterChar"/>
    <w:uiPriority w:val="99"/>
    <w:unhideWhenUsed/>
    <w:rsid w:val="00C7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C8C"/>
  </w:style>
  <w:style w:type="character" w:styleId="Hyperlink">
    <w:name w:val="Hyperlink"/>
    <w:basedOn w:val="DefaultParagraphFont"/>
    <w:uiPriority w:val="99"/>
    <w:unhideWhenUsed/>
    <w:rsid w:val="00483561"/>
    <w:rPr>
      <w:color w:val="467886" w:themeColor="hyperlink"/>
      <w:u w:val="single"/>
    </w:rPr>
  </w:style>
  <w:style w:type="character" w:styleId="UnresolvedMention">
    <w:name w:val="Unresolved Mention"/>
    <w:basedOn w:val="DefaultParagraphFont"/>
    <w:uiPriority w:val="99"/>
    <w:semiHidden/>
    <w:unhideWhenUsed/>
    <w:rsid w:val="0048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2.safelinks.protection.outlook.com/?url=https%3A%2F%2Fwww.fespa.com%2Fen%2Fbecome-a-member%2F&amp;data=05%7C02%7Crharry%40adcomms.co.uk%7C0e22f4b3515843a2505708de8a77fb26%7C4ed3e69fbff14a35b4253801f8045f3f%7C0%7C0%7C639100445112828707%7CUnknown%7CTWFpbGZsb3d8eyJFbXB0eU1hcGkiOnRydWUsIlYiOiIwLjAuMDAwMCIsIlAiOiJXaW4zMiIsIkFOIjoiTWFpbCIsIldUIjoyfQ%3D%3D%7C0%7C%7C%7C&amp;sdata=AWHpkB4MaUEuXeplSTAQxtVmCb5Fc5NgZD3ZZhHwinY%3D&amp;reserved=0"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sustainability-fespa"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6" ma:contentTypeDescription="Create a new document." ma:contentTypeScope="" ma:versionID="ef9fb976a49cd141898c4ce91c6bc301">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c66f587e1c5733cc03b5fbec2b1befd0"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9d656df-bdb6-49eb-b737-341170c2f580"/>
    <ds:schemaRef ds:uri="07573c11-723b-4fc4-9f5e-4bbfbddb2e8c"/>
  </ds:schemaRefs>
</ds:datastoreItem>
</file>

<file path=customXml/itemProps2.xml><?xml version="1.0" encoding="utf-8"?>
<ds:datastoreItem xmlns:ds="http://schemas.openxmlformats.org/officeDocument/2006/customXml" ds:itemID="{62953D5F-7097-4DCD-9E2B-76867A6E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CA4D9-40EB-462A-A5A1-B1E046BC1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Rachelle Harry</cp:lastModifiedBy>
  <cp:revision>7</cp:revision>
  <cp:lastPrinted>2025-05-28T16:05:00Z</cp:lastPrinted>
  <dcterms:created xsi:type="dcterms:W3CDTF">2026-01-02T15:09:00Z</dcterms:created>
  <dcterms:modified xsi:type="dcterms:W3CDTF">2026-03-25T15:18:00Z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GrammarlyDocumentId">
    <vt:lpwstr>efe52a85-664c-40e9-9a60-947ba77e3502</vt:lpwstr>
  </property>
</Properties>
</file>