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CEE98E" w14:textId="77777777" w:rsidR="00A5735A" w:rsidRPr="004B1A27" w:rsidRDefault="00A5735A">
      <w:pPr>
        <w:pStyle w:val="Title"/>
        <w:spacing w:after="0"/>
        <w:rPr>
          <w:lang w:val="pt-BR"/>
        </w:rPr>
      </w:pPr>
      <w:r>
        <w:rPr>
          <w:rFonts w:ascii="Aptos" w:hAnsi="Aptos"/>
          <w:b/>
          <w:bCs/>
          <w:sz w:val="24"/>
          <w:szCs w:val="24"/>
          <w:lang w:val="pt-BR"/>
        </w:rPr>
        <w:t>Entendendo a conformidade regulatória para tintas à base de solvente no Brasil</w:t>
      </w:r>
    </w:p>
    <w:p w14:paraId="78C4E9D7" w14:textId="77777777" w:rsidR="00A5735A" w:rsidRPr="004B1A27" w:rsidRDefault="00A5735A">
      <w:pPr>
        <w:pStyle w:val="Heading1"/>
        <w:spacing w:before="0" w:after="0"/>
        <w:rPr>
          <w:rFonts w:cstheme="minorBidi"/>
          <w:lang w:val="pt-BR"/>
        </w:rPr>
      </w:pPr>
      <w:r>
        <w:rPr>
          <w:rFonts w:ascii="Aptos" w:hAnsi="Aptos" w:cstheme="minorBidi"/>
          <w:color w:val="auto"/>
          <w:sz w:val="22"/>
          <w:szCs w:val="22"/>
          <w:lang w:val="pt-BR"/>
        </w:rPr>
        <w:t>Orientações estruturadas para manuseio seguro e conformidade no setor</w:t>
      </w:r>
    </w:p>
    <w:p w14:paraId="52211332" w14:textId="77777777" w:rsidR="001069ED" w:rsidRPr="004B1A27" w:rsidRDefault="001069ED" w:rsidP="001069ED">
      <w:pPr>
        <w:pStyle w:val="Heading1"/>
        <w:spacing w:before="0" w:after="0" w:line="240" w:lineRule="auto"/>
        <w:rPr>
          <w:rFonts w:asciiTheme="minorHAnsi" w:eastAsia="Times New Roman" w:hAnsiTheme="minorHAnsi"/>
          <w:color w:val="auto"/>
          <w:sz w:val="22"/>
          <w:szCs w:val="22"/>
          <w:lang w:val="pt-BR"/>
        </w:rPr>
      </w:pPr>
    </w:p>
    <w:p w14:paraId="49FE3814" w14:textId="77777777" w:rsidR="00A5735A" w:rsidRPr="00B85FD9" w:rsidRDefault="00A5735A">
      <w:pPr>
        <w:pStyle w:val="Heading1"/>
        <w:spacing w:before="0" w:after="0"/>
        <w:rPr>
          <w:rFonts w:cstheme="minorBidi"/>
          <w:lang w:val="pt-BR"/>
        </w:rPr>
      </w:pPr>
      <w:r w:rsidRPr="00B85FD9">
        <w:rPr>
          <w:rFonts w:ascii="Aptos" w:hAnsi="Aptos" w:cstheme="minorBidi"/>
          <w:b/>
          <w:bCs/>
          <w:color w:val="auto"/>
          <w:sz w:val="22"/>
          <w:szCs w:val="22"/>
          <w:lang w:val="pt-BR"/>
        </w:rPr>
        <w:t>Visão geral do cenário regulatório</w:t>
      </w:r>
    </w:p>
    <w:p w14:paraId="618DB4F5" w14:textId="09091F44" w:rsidR="00A5735A" w:rsidRPr="004B1A27" w:rsidRDefault="00A5735A">
      <w:pPr>
        <w:spacing w:after="0"/>
        <w:rPr>
          <w:lang w:val="pt-BR"/>
        </w:rPr>
      </w:pPr>
      <w:r>
        <w:rPr>
          <w:lang w:val="pt-BR"/>
        </w:rPr>
        <w:t xml:space="preserve">As tintas à base de solvente são amplamente utilizadas em embalagens flexíveis e em outras aplicações de impressão, sendo valorizadas por sua confiabilidade e alto desempenho. No entanto, no Brasil, há uma atenção crescente </w:t>
      </w:r>
      <w:r w:rsidR="000964AB">
        <w:rPr>
          <w:lang w:val="pt-BR"/>
        </w:rPr>
        <w:t>no</w:t>
      </w:r>
      <w:r>
        <w:rPr>
          <w:lang w:val="pt-BR"/>
        </w:rPr>
        <w:t xml:space="preserve"> transporte e </w:t>
      </w:r>
      <w:r w:rsidR="000964AB">
        <w:rPr>
          <w:lang w:val="pt-BR"/>
        </w:rPr>
        <w:t>no</w:t>
      </w:r>
      <w:r>
        <w:rPr>
          <w:lang w:val="pt-BR"/>
        </w:rPr>
        <w:t xml:space="preserve"> armazenamento seguros dessas tintas, principalmente devido aos riscos de inflamabilidade decorrentes de sua composição química volátil. Os desafios associados ao transporte desses materiais levaram os legisladores brasileiros a introduzir novas diretrizes destinadas a mitigar esses riscos. A Sun Chemical colabora ativamente com clientes e parceiros de todo o setor brasileiro de impressão e embalagens para avaliar os impactos práticos dessas mudanças regulatórias nas operações comerciais do dia a dia.</w:t>
      </w:r>
    </w:p>
    <w:p w14:paraId="0D6B396A" w14:textId="77777777" w:rsidR="001069ED" w:rsidRPr="004B1A27" w:rsidRDefault="001069ED" w:rsidP="001069ED">
      <w:pPr>
        <w:pStyle w:val="Heading2"/>
        <w:spacing w:before="0" w:after="0" w:line="240" w:lineRule="auto"/>
        <w:rPr>
          <w:rFonts w:asciiTheme="minorHAnsi" w:eastAsia="Times New Roman" w:hAnsiTheme="minorHAnsi"/>
          <w:color w:val="auto"/>
          <w:sz w:val="22"/>
          <w:szCs w:val="22"/>
          <w:lang w:val="pt-BR"/>
        </w:rPr>
      </w:pPr>
    </w:p>
    <w:p w14:paraId="37104245" w14:textId="2DDEB9A7" w:rsidR="00A5735A" w:rsidRPr="004B1A27" w:rsidRDefault="00B85FD9">
      <w:pPr>
        <w:pStyle w:val="Heading2"/>
        <w:spacing w:before="0" w:after="0"/>
        <w:rPr>
          <w:rFonts w:cstheme="minorBidi"/>
          <w:lang w:val="pt-BR"/>
        </w:rPr>
      </w:pPr>
      <w:r>
        <w:rPr>
          <w:rFonts w:ascii="Aptos" w:hAnsi="Aptos" w:cstheme="minorBidi"/>
          <w:b/>
          <w:bCs/>
          <w:color w:val="auto"/>
          <w:sz w:val="22"/>
          <w:szCs w:val="22"/>
          <w:lang w:val="pt-BR"/>
        </w:rPr>
        <w:t>Regulamentações</w:t>
      </w:r>
      <w:r w:rsidR="00A5735A">
        <w:rPr>
          <w:rFonts w:ascii="Aptos" w:hAnsi="Aptos" w:cstheme="minorBidi"/>
          <w:b/>
          <w:bCs/>
          <w:color w:val="auto"/>
          <w:sz w:val="22"/>
          <w:szCs w:val="22"/>
          <w:lang w:val="pt-BR"/>
        </w:rPr>
        <w:t xml:space="preserve"> de segurança contra incêndio: recipientes metálicos</w:t>
      </w:r>
    </w:p>
    <w:p w14:paraId="15E934E5" w14:textId="77777777" w:rsidR="00A5735A" w:rsidRPr="004B1A27" w:rsidRDefault="00A5735A">
      <w:pPr>
        <w:spacing w:after="0"/>
        <w:rPr>
          <w:lang w:val="pt-BR"/>
        </w:rPr>
      </w:pPr>
      <w:r>
        <w:rPr>
          <w:lang w:val="pt-BR"/>
        </w:rPr>
        <w:t>Devido aos riscos de segurança inerentes apresentados pelas tintas à base de solvente, o Corpo de Bombeiros do Estado de São Paulo promulgou uma regulamentação</w:t>
      </w:r>
      <w:r>
        <w:rPr>
          <w:vertAlign w:val="superscript"/>
          <w:lang w:val="pt-BR"/>
        </w:rPr>
        <w:t>1</w:t>
      </w:r>
      <w:r>
        <w:rPr>
          <w:lang w:val="pt-BR"/>
        </w:rPr>
        <w:t xml:space="preserve"> que determina que essas tintas sejam transportadas e armazenadas em recipientes aprovados pelas Nações Unidas (ONU). Esse requisito está alinhado às diretrizes mais amplas de segurança contra incêndio, que estabelecem que materiais perigosos devem ser acondicionados em embalagens especificamente projetadas para essas substâncias. Na prática, essa regulamentação aplica-se a formatos amplamente utilizados, como baldes de 20 litros, que são padrão no setor para a distribuição de tintas à base de solvente.</w:t>
      </w:r>
    </w:p>
    <w:p w14:paraId="6C4DB356" w14:textId="77777777" w:rsidR="001069ED" w:rsidRPr="004B1A27" w:rsidRDefault="001069ED" w:rsidP="001069ED">
      <w:pPr>
        <w:pStyle w:val="Heading2"/>
        <w:spacing w:before="0" w:after="0" w:line="240" w:lineRule="auto"/>
        <w:rPr>
          <w:rFonts w:asciiTheme="minorHAnsi" w:eastAsia="Times New Roman" w:hAnsiTheme="minorHAnsi"/>
          <w:color w:val="auto"/>
          <w:sz w:val="22"/>
          <w:szCs w:val="22"/>
          <w:lang w:val="pt-BR"/>
        </w:rPr>
      </w:pPr>
    </w:p>
    <w:p w14:paraId="4C0269A1" w14:textId="77777777" w:rsidR="00A5735A" w:rsidRPr="00937C3C" w:rsidRDefault="00A5735A">
      <w:pPr>
        <w:pStyle w:val="Heading2"/>
        <w:spacing w:before="0" w:after="0"/>
        <w:rPr>
          <w:rFonts w:cstheme="minorBidi"/>
          <w:lang w:val="pt-BR"/>
        </w:rPr>
      </w:pPr>
      <w:r w:rsidRPr="00937C3C">
        <w:rPr>
          <w:rFonts w:ascii="Aptos" w:hAnsi="Aptos" w:cstheme="minorBidi"/>
          <w:b/>
          <w:bCs/>
          <w:color w:val="auto"/>
          <w:sz w:val="22"/>
          <w:szCs w:val="22"/>
          <w:lang w:val="pt-BR"/>
        </w:rPr>
        <w:t>Benefícios das embalagens metálicas</w:t>
      </w:r>
    </w:p>
    <w:p w14:paraId="635A4180" w14:textId="77FCDA6E" w:rsidR="00A5735A" w:rsidRPr="004B1A27" w:rsidRDefault="00A5735A">
      <w:pPr>
        <w:spacing w:after="0"/>
        <w:rPr>
          <w:lang w:val="pt-BR"/>
        </w:rPr>
      </w:pPr>
      <w:r>
        <w:rPr>
          <w:lang w:val="pt-BR"/>
        </w:rPr>
        <w:t xml:space="preserve">Os recipientes </w:t>
      </w:r>
      <w:r w:rsidR="008B51DD">
        <w:rPr>
          <w:lang w:val="pt-BR"/>
        </w:rPr>
        <w:t xml:space="preserve">feitos de material </w:t>
      </w:r>
      <w:r>
        <w:rPr>
          <w:lang w:val="pt-BR"/>
        </w:rPr>
        <w:t xml:space="preserve">metálico ajudam a controlar os perigos associados às tintas à base de solvente devido à sua menor suscetibilidade a faíscas de eletricidade estática, que podem inflamar </w:t>
      </w:r>
      <w:r w:rsidR="0022260F">
        <w:rPr>
          <w:lang w:val="pt-BR"/>
        </w:rPr>
        <w:t xml:space="preserve">mais facilmente </w:t>
      </w:r>
      <w:r>
        <w:rPr>
          <w:lang w:val="pt-BR"/>
        </w:rPr>
        <w:t xml:space="preserve">materiais inflamáveis. Eles também oferecem resistência superior ao calor, mantendo a integridade estrutural durante o manuseio e o transporte. Em contrapartida, baldes </w:t>
      </w:r>
      <w:r w:rsidR="005163AD">
        <w:rPr>
          <w:lang w:val="pt-BR"/>
        </w:rPr>
        <w:t xml:space="preserve">feitos de </w:t>
      </w:r>
      <w:r>
        <w:rPr>
          <w:lang w:val="pt-BR"/>
        </w:rPr>
        <w:t xml:space="preserve">plásticos podem representar um risco grave em caso de incêndio, pois podem derreter rapidamente sob altas temperaturas, liberando tinta em chamas </w:t>
      </w:r>
      <w:r w:rsidR="005163AD">
        <w:rPr>
          <w:lang w:val="pt-BR"/>
        </w:rPr>
        <w:t>através do</w:t>
      </w:r>
      <w:r>
        <w:rPr>
          <w:lang w:val="pt-BR"/>
        </w:rPr>
        <w:t xml:space="preserve"> piso da área de produção. Isso pode fazer com que o fogo se espalhe rapidamente para áreas próximas, incluindo impressoras e cozinhas de tintas, aumentando</w:t>
      </w:r>
      <w:r w:rsidR="00937C3C">
        <w:rPr>
          <w:lang w:val="pt-BR"/>
        </w:rPr>
        <w:t xml:space="preserve"> </w:t>
      </w:r>
      <w:r>
        <w:rPr>
          <w:lang w:val="pt-BR"/>
        </w:rPr>
        <w:t>significativamente o risco para as pessoas e a infraestrutura.</w:t>
      </w:r>
    </w:p>
    <w:p w14:paraId="3A848DFA" w14:textId="77777777" w:rsidR="003942B9" w:rsidRPr="004B1A27" w:rsidRDefault="003942B9" w:rsidP="004E10D3">
      <w:pPr>
        <w:spacing w:after="0" w:line="240" w:lineRule="auto"/>
        <w:rPr>
          <w:lang w:val="pt-BR"/>
        </w:rPr>
      </w:pPr>
    </w:p>
    <w:p w14:paraId="4B87474F" w14:textId="377B2FB9" w:rsidR="00A5735A" w:rsidRPr="004B1A27" w:rsidRDefault="00A5735A">
      <w:pPr>
        <w:pStyle w:val="Heading2"/>
        <w:spacing w:before="0" w:after="0"/>
        <w:rPr>
          <w:rFonts w:cstheme="minorBidi"/>
          <w:lang w:val="pt-BR"/>
        </w:rPr>
      </w:pPr>
      <w:r>
        <w:rPr>
          <w:rFonts w:ascii="Aptos" w:hAnsi="Aptos" w:cstheme="minorBidi"/>
          <w:b/>
          <w:bCs/>
          <w:color w:val="auto"/>
          <w:sz w:val="22"/>
          <w:szCs w:val="22"/>
          <w:lang w:val="pt-BR"/>
        </w:rPr>
        <w:t>Compromisso da Sun Chemical com a conformidade</w:t>
      </w:r>
    </w:p>
    <w:p w14:paraId="318B04C5" w14:textId="4DAB2075" w:rsidR="00A5735A" w:rsidRPr="004B1A27" w:rsidRDefault="00A5735A">
      <w:pPr>
        <w:spacing w:after="0"/>
        <w:rPr>
          <w:lang w:val="pt-BR"/>
        </w:rPr>
      </w:pPr>
      <w:r>
        <w:rPr>
          <w:lang w:val="pt-BR"/>
        </w:rPr>
        <w:t>A Sun Chemical adota uma postura proativa em relação à conformidade regulatória. A empresa é uma das poucas participantes do setor no Brasil que garante que todas as tintas à base de solvente sejam transportadas em recipientes metálicos de 20 litros, em total conformidade com os requisitos brasileiros de segurança contra incêndio. Isso demonstra o compromisso da Sun Chemical em ajudar os clientes a navegar por ambientes regulatórios cada vez mais complexos e em garantir a segurança dos funcionários e dos ativos contra os riscos de incêndio associados a recipientes plásticos.</w:t>
      </w:r>
    </w:p>
    <w:p w14:paraId="3D06F8AE" w14:textId="77777777" w:rsidR="001069ED" w:rsidRPr="004B1A27" w:rsidRDefault="001069ED" w:rsidP="001069ED">
      <w:pPr>
        <w:pStyle w:val="Heading2"/>
        <w:spacing w:before="0" w:after="0" w:line="240" w:lineRule="auto"/>
        <w:rPr>
          <w:rFonts w:asciiTheme="minorHAnsi" w:eastAsia="Times New Roman" w:hAnsiTheme="minorHAnsi"/>
          <w:color w:val="auto"/>
          <w:sz w:val="22"/>
          <w:szCs w:val="22"/>
          <w:lang w:val="pt-BR"/>
        </w:rPr>
      </w:pPr>
    </w:p>
    <w:p w14:paraId="58D12870" w14:textId="77777777" w:rsidR="00A5735A" w:rsidRPr="00392F6E" w:rsidRDefault="00A5735A">
      <w:pPr>
        <w:pStyle w:val="Heading2"/>
        <w:spacing w:before="0" w:after="0"/>
        <w:rPr>
          <w:rFonts w:cstheme="minorBidi"/>
          <w:lang w:val="pt-BR"/>
        </w:rPr>
      </w:pPr>
      <w:r w:rsidRPr="00392F6E">
        <w:rPr>
          <w:rFonts w:ascii="Aptos" w:hAnsi="Aptos" w:cstheme="minorBidi"/>
          <w:b/>
          <w:bCs/>
          <w:color w:val="auto"/>
          <w:sz w:val="22"/>
          <w:szCs w:val="22"/>
          <w:lang w:val="pt-BR"/>
        </w:rPr>
        <w:t>Promoção da compreensão no setor</w:t>
      </w:r>
    </w:p>
    <w:p w14:paraId="43166C80" w14:textId="77777777" w:rsidR="00A5735A" w:rsidRPr="004B1A27" w:rsidRDefault="00A5735A">
      <w:pPr>
        <w:spacing w:after="0"/>
        <w:rPr>
          <w:lang w:val="pt-BR"/>
        </w:rPr>
      </w:pPr>
      <w:r>
        <w:rPr>
          <w:lang w:val="pt-BR"/>
        </w:rPr>
        <w:t xml:space="preserve">Gráficas, convertedores, distribuidores e equipes de compras nem sempre conhecem plenamente os detalhes ou a justificativa dessas regulamentações. Portanto, ampliar a </w:t>
      </w:r>
      <w:r>
        <w:rPr>
          <w:lang w:val="pt-BR"/>
        </w:rPr>
        <w:lastRenderedPageBreak/>
        <w:t>conscientização do setor sobre os requisitos de segurança é essencial para garantir a conformidade e a segurança operacional.</w:t>
      </w:r>
    </w:p>
    <w:p w14:paraId="573FBB8B" w14:textId="77777777" w:rsidR="00A5735A" w:rsidRPr="004B1A27" w:rsidRDefault="00A5735A">
      <w:pPr>
        <w:spacing w:after="0"/>
        <w:rPr>
          <w:lang w:val="pt-BR"/>
        </w:rPr>
      </w:pPr>
      <w:r>
        <w:rPr>
          <w:lang w:val="pt-BR"/>
        </w:rPr>
        <w:t>Do ponto de vista de compras, há uma valorização crescente de fornecedores que não apenas oferecem produtos de alto desempenho, mas também possuem profundo conhecimento regulatório e demonstram uma gestão responsável dos produtos.</w:t>
      </w:r>
    </w:p>
    <w:p w14:paraId="574D9141" w14:textId="77777777" w:rsidR="001069ED" w:rsidRPr="004B1A27" w:rsidRDefault="001069ED" w:rsidP="001069ED">
      <w:pPr>
        <w:pStyle w:val="Heading2"/>
        <w:spacing w:before="0" w:after="0" w:line="240" w:lineRule="auto"/>
        <w:rPr>
          <w:rFonts w:asciiTheme="minorHAnsi" w:eastAsia="Times New Roman" w:hAnsiTheme="minorHAnsi"/>
          <w:color w:val="auto"/>
          <w:sz w:val="22"/>
          <w:szCs w:val="22"/>
          <w:lang w:val="pt-BR"/>
        </w:rPr>
      </w:pPr>
    </w:p>
    <w:p w14:paraId="577AB9BE" w14:textId="77777777" w:rsidR="00A5735A" w:rsidRPr="004B1A27" w:rsidRDefault="00A5735A">
      <w:pPr>
        <w:pStyle w:val="Heading2"/>
        <w:spacing w:before="0" w:after="0"/>
        <w:rPr>
          <w:rFonts w:cstheme="minorBidi"/>
          <w:lang w:val="pt-BR"/>
        </w:rPr>
      </w:pPr>
      <w:r>
        <w:rPr>
          <w:rFonts w:ascii="Aptos" w:hAnsi="Aptos" w:cstheme="minorBidi"/>
          <w:b/>
          <w:bCs/>
          <w:color w:val="auto"/>
          <w:sz w:val="22"/>
          <w:szCs w:val="22"/>
          <w:lang w:val="pt-BR"/>
        </w:rPr>
        <w:t>Conformidade regulatória: além dos requisitos legais</w:t>
      </w:r>
    </w:p>
    <w:p w14:paraId="4EA1CFAE" w14:textId="77777777" w:rsidR="00A5735A" w:rsidRPr="004B1A27" w:rsidRDefault="00A5735A">
      <w:pPr>
        <w:spacing w:after="0"/>
        <w:rPr>
          <w:lang w:val="pt-BR"/>
        </w:rPr>
      </w:pPr>
      <w:r>
        <w:rPr>
          <w:lang w:val="pt-BR"/>
        </w:rPr>
        <w:t>Para as empresas dos setores de impressão e embalagens no Brasil, a conformidade com as regulamentações vai além do simples cumprimento de obrigações legais. Ela sinaliza um compromisso mais amplo com a segurança do cliente. Embora os recipientes metálicos tenham custos mais elevados devido aos testes rigorosos, eles proporcionam maior segurança contra incêndio e conformidade, favorecendo relações positivas com as seguradoras. A parceria com empresas que priorizam a conformidade, como a Sun Chemical, garante o manuseio seguro de materiais inflamáveis e reduz os riscos operacionais.</w:t>
      </w:r>
    </w:p>
    <w:p w14:paraId="35C2DDB9" w14:textId="77777777" w:rsidR="00A5735A" w:rsidRPr="004B1A27" w:rsidRDefault="00A5735A">
      <w:pPr>
        <w:spacing w:after="0"/>
        <w:rPr>
          <w:lang w:val="pt-BR"/>
        </w:rPr>
      </w:pPr>
      <w:r>
        <w:rPr>
          <w:lang w:val="pt-BR"/>
        </w:rPr>
        <w:t>Por outro lado, o uso de embalagens que não atendem aos padrões regulatórios pode criar desafios para empresas que dependem de operações em conformidade. Empresas que recebem e armazenam tintas à base de solvente em recipientes que não cumprem os requisitos de segurança podem, involuntariamente, expor-se a riscos de conformidade, operacionais e de segurança. Elas também podem enfrentar custos de seguro mais elevados ou o risco de ter sinistros negados, especialmente porque as normas de segurança proíbem o armazenamento de tintas à base de solvente em recipientes plásticos de 20 litros.</w:t>
      </w:r>
    </w:p>
    <w:p w14:paraId="4EDB8358" w14:textId="77777777" w:rsidR="001069ED" w:rsidRPr="004B1A27" w:rsidRDefault="001069ED" w:rsidP="001069ED">
      <w:pPr>
        <w:pStyle w:val="Heading2"/>
        <w:spacing w:before="0" w:after="0" w:line="240" w:lineRule="auto"/>
        <w:rPr>
          <w:rFonts w:asciiTheme="minorHAnsi" w:eastAsia="Times New Roman" w:hAnsiTheme="minorHAnsi"/>
          <w:color w:val="auto"/>
          <w:sz w:val="22"/>
          <w:szCs w:val="22"/>
          <w:lang w:val="pt-BR"/>
        </w:rPr>
      </w:pPr>
    </w:p>
    <w:p w14:paraId="32FB91A7" w14:textId="77777777" w:rsidR="00A5735A" w:rsidRPr="004B1A27" w:rsidRDefault="00A5735A">
      <w:pPr>
        <w:pStyle w:val="Heading2"/>
        <w:spacing w:before="0" w:after="0"/>
        <w:rPr>
          <w:rFonts w:cstheme="minorBidi"/>
          <w:lang w:val="pt-BR"/>
        </w:rPr>
      </w:pPr>
      <w:r>
        <w:rPr>
          <w:rFonts w:ascii="Aptos" w:hAnsi="Aptos" w:cstheme="minorBidi"/>
          <w:b/>
          <w:bCs/>
          <w:color w:val="auto"/>
          <w:sz w:val="22"/>
          <w:szCs w:val="22"/>
          <w:lang w:val="pt-BR"/>
        </w:rPr>
        <w:t>Responsabilidade compartilhada em toda a cadeia de suprimentos</w:t>
      </w:r>
    </w:p>
    <w:p w14:paraId="32A1C965" w14:textId="77777777" w:rsidR="00A5735A" w:rsidRPr="004B1A27" w:rsidRDefault="00A5735A">
      <w:pPr>
        <w:spacing w:after="0"/>
        <w:rPr>
          <w:lang w:val="pt-BR"/>
        </w:rPr>
      </w:pPr>
      <w:r>
        <w:rPr>
          <w:lang w:val="pt-BR"/>
        </w:rPr>
        <w:t>O manuseio responsável de tintas à base de solvente é uma obrigação coletiva em toda a cadeia de suprimentos. As empresas devem continuar colaborando, mantendo a transparência e cumprindo as regulamentações atuais e emergentes para garantir que o setor de impressão e embalagens preserve ambientes de produção seguros e em conformidade.</w:t>
      </w:r>
    </w:p>
    <w:p w14:paraId="6B9BF402" w14:textId="77777777" w:rsidR="00A5735A" w:rsidRPr="004B1A27" w:rsidRDefault="00A5735A">
      <w:pPr>
        <w:spacing w:after="0"/>
        <w:rPr>
          <w:lang w:val="pt-BR"/>
        </w:rPr>
      </w:pPr>
      <w:r>
        <w:rPr>
          <w:lang w:val="pt-BR"/>
        </w:rPr>
        <w:t>A Sun Chemical considera a conformidade regulatória uma oportunidade para melhorar a segurança e apoiar o progresso de longo prazo do setor. Ao trabalhar de forma colaborativa em toda a cadeia de valor, a empresa ajuda a garantir que as tintas à base de solvente sejam usadas com segurança e de acordo com as expectativas regulatórias em evolução.</w:t>
      </w:r>
    </w:p>
    <w:p w14:paraId="7FCA81F9" w14:textId="6AAB844A" w:rsidR="000F0585" w:rsidRPr="004B1A27" w:rsidRDefault="000F0585" w:rsidP="001069ED">
      <w:pPr>
        <w:spacing w:after="0" w:line="240" w:lineRule="auto"/>
        <w:rPr>
          <w:lang w:val="pt-BR"/>
        </w:rPr>
      </w:pPr>
    </w:p>
    <w:p w14:paraId="5B9F8CE8" w14:textId="77777777" w:rsidR="00A5735A" w:rsidRPr="00EA1C67" w:rsidRDefault="00A5735A">
      <w:pPr>
        <w:spacing w:after="0"/>
        <w:rPr>
          <w:lang w:val="pt-BR"/>
        </w:rPr>
      </w:pPr>
      <w:r w:rsidRPr="00EA1C67">
        <w:rPr>
          <w:lang w:val="pt-BR"/>
        </w:rPr>
        <w:t>Notas:</w:t>
      </w:r>
    </w:p>
    <w:p w14:paraId="1AFA5A75" w14:textId="77777777" w:rsidR="00A5735A" w:rsidRPr="004B1A27" w:rsidRDefault="00A5735A">
      <w:pPr>
        <w:spacing w:after="0"/>
        <w:rPr>
          <w:lang w:val="pt-BR"/>
        </w:rPr>
      </w:pPr>
      <w:r>
        <w:rPr>
          <w:vertAlign w:val="superscript"/>
          <w:lang w:val="pt-BR"/>
        </w:rPr>
        <w:t>1</w:t>
      </w:r>
      <w:r>
        <w:rPr>
          <w:lang w:val="pt-BR"/>
        </w:rPr>
        <w:t xml:space="preserve"> Resolução ANTT nº 5.998/2022: Estabelece o Regulamento para o Transporte Rodoviário de Produtos Perigosos</w:t>
      </w:r>
    </w:p>
    <w:p w14:paraId="5B1C1180" w14:textId="77777777" w:rsidR="008C5297" w:rsidRPr="004B1A27" w:rsidRDefault="008C5297" w:rsidP="0016115D">
      <w:pPr>
        <w:spacing w:after="0" w:line="240" w:lineRule="auto"/>
        <w:rPr>
          <w:lang w:val="pt-BR"/>
        </w:rPr>
      </w:pPr>
    </w:p>
    <w:p w14:paraId="4E14504C" w14:textId="77777777" w:rsidR="00A5735A" w:rsidRPr="004B1A27" w:rsidRDefault="00A5735A">
      <w:pPr>
        <w:spacing w:after="0"/>
        <w:rPr>
          <w:lang w:val="pt-BR"/>
        </w:rPr>
      </w:pPr>
      <w:r>
        <w:rPr>
          <w:lang w:val="pt-BR"/>
        </w:rPr>
        <w:t xml:space="preserve">Para mais informações, acesse </w:t>
      </w:r>
      <w:hyperlink r:id="rId9" w:history="1">
        <w:r>
          <w:rPr>
            <w:rStyle w:val="Hyperlink"/>
            <w:lang w:val="pt-BR"/>
          </w:rPr>
          <w:t>www.sunchemical.com</w:t>
        </w:r>
      </w:hyperlink>
    </w:p>
    <w:p w14:paraId="60670D79" w14:textId="77777777" w:rsidR="008C5297" w:rsidRPr="004B1A27" w:rsidRDefault="008C5297" w:rsidP="0016115D">
      <w:pPr>
        <w:spacing w:after="0" w:line="240" w:lineRule="auto"/>
        <w:rPr>
          <w:rFonts w:eastAsiaTheme="minorEastAsia"/>
          <w:lang w:val="pt-BR"/>
        </w:rPr>
      </w:pPr>
    </w:p>
    <w:p w14:paraId="552A029F" w14:textId="77777777" w:rsidR="000F0585" w:rsidRPr="004B1A27" w:rsidRDefault="000F0585" w:rsidP="001069ED">
      <w:pPr>
        <w:spacing w:after="0" w:line="240" w:lineRule="auto"/>
        <w:rPr>
          <w:rFonts w:eastAsiaTheme="minorEastAsia"/>
          <w:lang w:val="pt-BR"/>
        </w:rPr>
      </w:pPr>
    </w:p>
    <w:sectPr w:rsidR="000F0585" w:rsidRPr="004B1A2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07CE2"/>
    <w:multiLevelType w:val="hybridMultilevel"/>
    <w:tmpl w:val="CDC44C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305140BF"/>
    <w:multiLevelType w:val="multilevel"/>
    <w:tmpl w:val="37844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75839010">
    <w:abstractNumId w:val="1"/>
  </w:num>
  <w:num w:numId="2" w16cid:durableId="185531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0619"/>
    <w:rsid w:val="00013549"/>
    <w:rsid w:val="000175A4"/>
    <w:rsid w:val="000177B6"/>
    <w:rsid w:val="00020E5E"/>
    <w:rsid w:val="00022A43"/>
    <w:rsid w:val="00045A60"/>
    <w:rsid w:val="00077907"/>
    <w:rsid w:val="000964AB"/>
    <w:rsid w:val="000A34ED"/>
    <w:rsid w:val="000A4029"/>
    <w:rsid w:val="000B2572"/>
    <w:rsid w:val="000C54D5"/>
    <w:rsid w:val="000D425B"/>
    <w:rsid w:val="000F0585"/>
    <w:rsid w:val="000F31CC"/>
    <w:rsid w:val="001069ED"/>
    <w:rsid w:val="00106C67"/>
    <w:rsid w:val="00107CA3"/>
    <w:rsid w:val="001126A3"/>
    <w:rsid w:val="00113F38"/>
    <w:rsid w:val="001270F1"/>
    <w:rsid w:val="001354DD"/>
    <w:rsid w:val="001356D8"/>
    <w:rsid w:val="001431CD"/>
    <w:rsid w:val="0014325D"/>
    <w:rsid w:val="00146B68"/>
    <w:rsid w:val="00146E9D"/>
    <w:rsid w:val="00150860"/>
    <w:rsid w:val="0016115D"/>
    <w:rsid w:val="001644DB"/>
    <w:rsid w:val="001671CF"/>
    <w:rsid w:val="00184FD1"/>
    <w:rsid w:val="0018526F"/>
    <w:rsid w:val="0019028F"/>
    <w:rsid w:val="001911B5"/>
    <w:rsid w:val="001C08DE"/>
    <w:rsid w:val="001D1915"/>
    <w:rsid w:val="001F122F"/>
    <w:rsid w:val="00217D5A"/>
    <w:rsid w:val="0022260F"/>
    <w:rsid w:val="00231E1C"/>
    <w:rsid w:val="00237D5A"/>
    <w:rsid w:val="0024222C"/>
    <w:rsid w:val="00242CE8"/>
    <w:rsid w:val="00251744"/>
    <w:rsid w:val="00253568"/>
    <w:rsid w:val="002554FD"/>
    <w:rsid w:val="002A77FB"/>
    <w:rsid w:val="002B7A70"/>
    <w:rsid w:val="002D2169"/>
    <w:rsid w:val="002F6B08"/>
    <w:rsid w:val="00310238"/>
    <w:rsid w:val="00317741"/>
    <w:rsid w:val="00332FFB"/>
    <w:rsid w:val="0033741A"/>
    <w:rsid w:val="00341A98"/>
    <w:rsid w:val="00352C84"/>
    <w:rsid w:val="00352DB1"/>
    <w:rsid w:val="00367C13"/>
    <w:rsid w:val="00387800"/>
    <w:rsid w:val="00392F6E"/>
    <w:rsid w:val="003942B9"/>
    <w:rsid w:val="003A70BD"/>
    <w:rsid w:val="003F3FD7"/>
    <w:rsid w:val="00400486"/>
    <w:rsid w:val="0040061F"/>
    <w:rsid w:val="00402428"/>
    <w:rsid w:val="004149AC"/>
    <w:rsid w:val="00414E14"/>
    <w:rsid w:val="00423C54"/>
    <w:rsid w:val="00451C89"/>
    <w:rsid w:val="00470BB2"/>
    <w:rsid w:val="004753FC"/>
    <w:rsid w:val="004806FA"/>
    <w:rsid w:val="004A2AA3"/>
    <w:rsid w:val="004B1A27"/>
    <w:rsid w:val="004C34EA"/>
    <w:rsid w:val="004E10D3"/>
    <w:rsid w:val="004E3350"/>
    <w:rsid w:val="004E4706"/>
    <w:rsid w:val="004E4D8E"/>
    <w:rsid w:val="00502995"/>
    <w:rsid w:val="0051241B"/>
    <w:rsid w:val="00513A9B"/>
    <w:rsid w:val="005163AD"/>
    <w:rsid w:val="00545945"/>
    <w:rsid w:val="0057469E"/>
    <w:rsid w:val="0057743D"/>
    <w:rsid w:val="005D4A7B"/>
    <w:rsid w:val="005E2038"/>
    <w:rsid w:val="005F357D"/>
    <w:rsid w:val="0061459F"/>
    <w:rsid w:val="00616F4D"/>
    <w:rsid w:val="0065698E"/>
    <w:rsid w:val="00660EC4"/>
    <w:rsid w:val="006828A7"/>
    <w:rsid w:val="00684F48"/>
    <w:rsid w:val="00685E96"/>
    <w:rsid w:val="006863B2"/>
    <w:rsid w:val="00694D6A"/>
    <w:rsid w:val="006A0C85"/>
    <w:rsid w:val="006B2274"/>
    <w:rsid w:val="006C3820"/>
    <w:rsid w:val="006D364B"/>
    <w:rsid w:val="006F0B2F"/>
    <w:rsid w:val="006F611E"/>
    <w:rsid w:val="007638A2"/>
    <w:rsid w:val="00775AA9"/>
    <w:rsid w:val="00787B88"/>
    <w:rsid w:val="007D4C07"/>
    <w:rsid w:val="007E31EB"/>
    <w:rsid w:val="00803B44"/>
    <w:rsid w:val="008059F7"/>
    <w:rsid w:val="008101D7"/>
    <w:rsid w:val="00812FD1"/>
    <w:rsid w:val="0082552A"/>
    <w:rsid w:val="00836B32"/>
    <w:rsid w:val="00844AE5"/>
    <w:rsid w:val="008A1BD7"/>
    <w:rsid w:val="008A3F7F"/>
    <w:rsid w:val="008B35F9"/>
    <w:rsid w:val="008B51DD"/>
    <w:rsid w:val="008C5297"/>
    <w:rsid w:val="008D179F"/>
    <w:rsid w:val="008D3A1B"/>
    <w:rsid w:val="008E156C"/>
    <w:rsid w:val="00910178"/>
    <w:rsid w:val="0092231D"/>
    <w:rsid w:val="009348AC"/>
    <w:rsid w:val="00937C3C"/>
    <w:rsid w:val="0095664B"/>
    <w:rsid w:val="009636B0"/>
    <w:rsid w:val="009C16B7"/>
    <w:rsid w:val="009D1303"/>
    <w:rsid w:val="009D45FE"/>
    <w:rsid w:val="009D5AF4"/>
    <w:rsid w:val="009E64B7"/>
    <w:rsid w:val="00A11D9C"/>
    <w:rsid w:val="00A405E8"/>
    <w:rsid w:val="00A41916"/>
    <w:rsid w:val="00A5735A"/>
    <w:rsid w:val="00A64C33"/>
    <w:rsid w:val="00AA3A13"/>
    <w:rsid w:val="00AB186B"/>
    <w:rsid w:val="00AB3DB8"/>
    <w:rsid w:val="00AD503C"/>
    <w:rsid w:val="00AF208C"/>
    <w:rsid w:val="00AF3B9E"/>
    <w:rsid w:val="00B01480"/>
    <w:rsid w:val="00B1028E"/>
    <w:rsid w:val="00B12D85"/>
    <w:rsid w:val="00B30CC9"/>
    <w:rsid w:val="00B400CE"/>
    <w:rsid w:val="00B50427"/>
    <w:rsid w:val="00B6592A"/>
    <w:rsid w:val="00B70E1F"/>
    <w:rsid w:val="00B81A81"/>
    <w:rsid w:val="00B85FD9"/>
    <w:rsid w:val="00BA0841"/>
    <w:rsid w:val="00BA163E"/>
    <w:rsid w:val="00BB03C0"/>
    <w:rsid w:val="00BC3D40"/>
    <w:rsid w:val="00BC601F"/>
    <w:rsid w:val="00BD5243"/>
    <w:rsid w:val="00BD6646"/>
    <w:rsid w:val="00BE6B21"/>
    <w:rsid w:val="00BF6CC0"/>
    <w:rsid w:val="00C4031B"/>
    <w:rsid w:val="00C5033C"/>
    <w:rsid w:val="00C644A1"/>
    <w:rsid w:val="00C8294D"/>
    <w:rsid w:val="00CA078F"/>
    <w:rsid w:val="00CA5A1D"/>
    <w:rsid w:val="00CA613A"/>
    <w:rsid w:val="00CA681A"/>
    <w:rsid w:val="00CB2A44"/>
    <w:rsid w:val="00CB5288"/>
    <w:rsid w:val="00CB748C"/>
    <w:rsid w:val="00CD7FEE"/>
    <w:rsid w:val="00CE7C77"/>
    <w:rsid w:val="00D074A8"/>
    <w:rsid w:val="00D100D4"/>
    <w:rsid w:val="00D10619"/>
    <w:rsid w:val="00D24A55"/>
    <w:rsid w:val="00D27D3B"/>
    <w:rsid w:val="00D7026A"/>
    <w:rsid w:val="00D83100"/>
    <w:rsid w:val="00DB2B2F"/>
    <w:rsid w:val="00DB7A0C"/>
    <w:rsid w:val="00DE7C07"/>
    <w:rsid w:val="00E46267"/>
    <w:rsid w:val="00E60AC7"/>
    <w:rsid w:val="00E673BC"/>
    <w:rsid w:val="00E7456E"/>
    <w:rsid w:val="00E75E1B"/>
    <w:rsid w:val="00EA0D61"/>
    <w:rsid w:val="00EA1C67"/>
    <w:rsid w:val="00EC191A"/>
    <w:rsid w:val="00EC1D45"/>
    <w:rsid w:val="00EC63BB"/>
    <w:rsid w:val="00EE0518"/>
    <w:rsid w:val="00EE6083"/>
    <w:rsid w:val="00EF5AB3"/>
    <w:rsid w:val="00F07238"/>
    <w:rsid w:val="00F100DA"/>
    <w:rsid w:val="00F35FA8"/>
    <w:rsid w:val="00F37A25"/>
    <w:rsid w:val="00F37BF1"/>
    <w:rsid w:val="00F43CC7"/>
    <w:rsid w:val="00F44440"/>
    <w:rsid w:val="00F45263"/>
    <w:rsid w:val="00F564C3"/>
    <w:rsid w:val="00F579C8"/>
    <w:rsid w:val="00F6193B"/>
    <w:rsid w:val="00F85FE6"/>
    <w:rsid w:val="00FA75A8"/>
    <w:rsid w:val="00FC30AE"/>
    <w:rsid w:val="00FC47EC"/>
    <w:rsid w:val="00FC70F1"/>
    <w:rsid w:val="00FD6B5B"/>
    <w:rsid w:val="00FF59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75028C"/>
  <w15:chartTrackingRefBased/>
  <w15:docId w15:val="{FCA8F0E4-09C2-4A66-9057-0526D83D98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0619"/>
  </w:style>
  <w:style w:type="paragraph" w:styleId="Heading1">
    <w:name w:val="heading 1"/>
    <w:basedOn w:val="Normal"/>
    <w:next w:val="Normal"/>
    <w:link w:val="Heading1Char"/>
    <w:uiPriority w:val="9"/>
    <w:qFormat/>
    <w:rsid w:val="00D1061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1061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1061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1061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1061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1061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1061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1061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1061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061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1061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1061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1061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1061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1061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1061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1061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10619"/>
    <w:rPr>
      <w:rFonts w:eastAsiaTheme="majorEastAsia" w:cstheme="majorBidi"/>
      <w:color w:val="272727" w:themeColor="text1" w:themeTint="D8"/>
    </w:rPr>
  </w:style>
  <w:style w:type="paragraph" w:styleId="Title">
    <w:name w:val="Title"/>
    <w:basedOn w:val="Normal"/>
    <w:next w:val="Normal"/>
    <w:link w:val="TitleChar"/>
    <w:uiPriority w:val="10"/>
    <w:qFormat/>
    <w:rsid w:val="00D106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1061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1061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1061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10619"/>
    <w:pPr>
      <w:spacing w:before="160"/>
      <w:jc w:val="center"/>
    </w:pPr>
    <w:rPr>
      <w:i/>
      <w:iCs/>
      <w:color w:val="404040" w:themeColor="text1" w:themeTint="BF"/>
    </w:rPr>
  </w:style>
  <w:style w:type="character" w:customStyle="1" w:styleId="QuoteChar">
    <w:name w:val="Quote Char"/>
    <w:basedOn w:val="DefaultParagraphFont"/>
    <w:link w:val="Quote"/>
    <w:uiPriority w:val="29"/>
    <w:rsid w:val="00D10619"/>
    <w:rPr>
      <w:i/>
      <w:iCs/>
      <w:color w:val="404040" w:themeColor="text1" w:themeTint="BF"/>
    </w:rPr>
  </w:style>
  <w:style w:type="paragraph" w:styleId="ListParagraph">
    <w:name w:val="List Paragraph"/>
    <w:basedOn w:val="Normal"/>
    <w:uiPriority w:val="34"/>
    <w:qFormat/>
    <w:rsid w:val="00D10619"/>
    <w:pPr>
      <w:ind w:left="720"/>
      <w:contextualSpacing/>
    </w:pPr>
  </w:style>
  <w:style w:type="character" w:styleId="IntenseEmphasis">
    <w:name w:val="Intense Emphasis"/>
    <w:basedOn w:val="DefaultParagraphFont"/>
    <w:uiPriority w:val="21"/>
    <w:qFormat/>
    <w:rsid w:val="00D10619"/>
    <w:rPr>
      <w:i/>
      <w:iCs/>
      <w:color w:val="0F4761" w:themeColor="accent1" w:themeShade="BF"/>
    </w:rPr>
  </w:style>
  <w:style w:type="paragraph" w:styleId="IntenseQuote">
    <w:name w:val="Intense Quote"/>
    <w:basedOn w:val="Normal"/>
    <w:next w:val="Normal"/>
    <w:link w:val="IntenseQuoteChar"/>
    <w:uiPriority w:val="30"/>
    <w:qFormat/>
    <w:rsid w:val="00D106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10619"/>
    <w:rPr>
      <w:i/>
      <w:iCs/>
      <w:color w:val="0F4761" w:themeColor="accent1" w:themeShade="BF"/>
    </w:rPr>
  </w:style>
  <w:style w:type="character" w:styleId="IntenseReference">
    <w:name w:val="Intense Reference"/>
    <w:basedOn w:val="DefaultParagraphFont"/>
    <w:uiPriority w:val="32"/>
    <w:qFormat/>
    <w:rsid w:val="00D10619"/>
    <w:rPr>
      <w:b/>
      <w:bCs/>
      <w:smallCaps/>
      <w:color w:val="0F4761" w:themeColor="accent1" w:themeShade="BF"/>
      <w:spacing w:val="5"/>
    </w:rPr>
  </w:style>
  <w:style w:type="paragraph" w:styleId="NormalWeb">
    <w:name w:val="Normal (Web)"/>
    <w:basedOn w:val="Normal"/>
    <w:uiPriority w:val="99"/>
    <w:semiHidden/>
    <w:unhideWhenUsed/>
    <w:rsid w:val="00C4031B"/>
    <w:rPr>
      <w:rFonts w:ascii="Times New Roman" w:hAnsi="Times New Roman" w:cs="Times New Roman"/>
      <w:sz w:val="24"/>
      <w:szCs w:val="24"/>
    </w:rPr>
  </w:style>
  <w:style w:type="paragraph" w:styleId="Revision">
    <w:name w:val="Revision"/>
    <w:hidden/>
    <w:uiPriority w:val="99"/>
    <w:semiHidden/>
    <w:rsid w:val="00045A60"/>
    <w:pPr>
      <w:spacing w:after="0" w:line="240" w:lineRule="auto"/>
    </w:pPr>
  </w:style>
  <w:style w:type="character" w:styleId="Hyperlink">
    <w:name w:val="Hyperlink"/>
    <w:basedOn w:val="DefaultParagraphFont"/>
    <w:uiPriority w:val="99"/>
    <w:unhideWhenUsed/>
    <w:rsid w:val="008C5297"/>
    <w:rPr>
      <w:color w:val="467886" w:themeColor="hyperlink"/>
      <w:u w:val="single"/>
    </w:rPr>
  </w:style>
  <w:style w:type="character" w:styleId="UnresolvedMention">
    <w:name w:val="Unresolved Mention"/>
    <w:basedOn w:val="DefaultParagraphFont"/>
    <w:uiPriority w:val="99"/>
    <w:semiHidden/>
    <w:unhideWhenUsed/>
    <w:rsid w:val="008C5297"/>
    <w:rPr>
      <w:color w:val="605E5C"/>
      <w:shd w:val="clear" w:color="auto" w:fill="E1DFDD"/>
    </w:rPr>
  </w:style>
  <w:style w:type="character" w:styleId="BookTitle">
    <w:name w:val="Book Title"/>
    <w:basedOn w:val="DefaultParagraphFont"/>
    <w:uiPriority w:val="33"/>
    <w:qFormat/>
    <w:rsid w:val="00B6592A"/>
    <w:rPr>
      <w:b/>
      <w:bCs/>
      <w:i/>
      <w:iCs/>
      <w:spacing w:val="5"/>
    </w:rPr>
  </w:style>
  <w:style w:type="paragraph" w:styleId="Caption">
    <w:name w:val="caption"/>
    <w:basedOn w:val="Normal"/>
    <w:next w:val="Normal"/>
    <w:uiPriority w:val="35"/>
    <w:semiHidden/>
    <w:unhideWhenUsed/>
    <w:qFormat/>
    <w:rsid w:val="00B6592A"/>
    <w:pPr>
      <w:spacing w:after="200" w:line="240" w:lineRule="auto"/>
    </w:pPr>
    <w:rPr>
      <w:i/>
      <w:iCs/>
      <w:color w:val="0E2841" w:themeColor="text2"/>
      <w:sz w:val="18"/>
      <w:szCs w:val="18"/>
    </w:rPr>
  </w:style>
  <w:style w:type="character" w:styleId="Emphasis">
    <w:name w:val="Emphasis"/>
    <w:basedOn w:val="DefaultParagraphFont"/>
    <w:uiPriority w:val="20"/>
    <w:qFormat/>
    <w:rsid w:val="00B6592A"/>
    <w:rPr>
      <w:i/>
      <w:iCs/>
    </w:rPr>
  </w:style>
  <w:style w:type="paragraph" w:styleId="NoSpacing">
    <w:name w:val="No Spacing"/>
    <w:uiPriority w:val="1"/>
    <w:qFormat/>
    <w:rsid w:val="00B6592A"/>
    <w:pPr>
      <w:spacing w:after="0" w:line="240" w:lineRule="auto"/>
    </w:pPr>
  </w:style>
  <w:style w:type="character" w:styleId="Strong">
    <w:name w:val="Strong"/>
    <w:basedOn w:val="DefaultParagraphFont"/>
    <w:uiPriority w:val="22"/>
    <w:qFormat/>
    <w:rsid w:val="00B6592A"/>
    <w:rPr>
      <w:b/>
      <w:bCs/>
    </w:rPr>
  </w:style>
  <w:style w:type="character" w:styleId="SubtleEmphasis">
    <w:name w:val="Subtle Emphasis"/>
    <w:basedOn w:val="DefaultParagraphFont"/>
    <w:uiPriority w:val="19"/>
    <w:qFormat/>
    <w:rsid w:val="00B6592A"/>
    <w:rPr>
      <w:i/>
      <w:iCs/>
      <w:color w:val="404040" w:themeColor="text1" w:themeTint="BF"/>
    </w:rPr>
  </w:style>
  <w:style w:type="character" w:styleId="SubtleReference">
    <w:name w:val="Subtle Reference"/>
    <w:basedOn w:val="DefaultParagraphFont"/>
    <w:uiPriority w:val="31"/>
    <w:qFormat/>
    <w:rsid w:val="00B6592A"/>
    <w:rPr>
      <w:smallCaps/>
      <w:color w:val="5A5A5A" w:themeColor="text1" w:themeTint="A5"/>
    </w:rPr>
  </w:style>
  <w:style w:type="paragraph" w:styleId="TOCHeading">
    <w:name w:val="TOC Heading"/>
    <w:basedOn w:val="Heading1"/>
    <w:next w:val="Normal"/>
    <w:uiPriority w:val="39"/>
    <w:semiHidden/>
    <w:unhideWhenUsed/>
    <w:qFormat/>
    <w:rsid w:val="00B6592A"/>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hyperlink" Target="http://www.sunchemica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a9d656df-bdb6-49eb-b737-341170c2f580" xsi:nil="true"/>
    <lcf76f155ced4ddcb4097134ff3c332f xmlns="e1dbec1b-5380-4841-8f52-9b0e228a9310">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5D200EEEDCD5A4D8A8F26A0ACD4718F" ma:contentTypeVersion="11" ma:contentTypeDescription="Create a new document." ma:contentTypeScope="" ma:versionID="5508263b431f9903e32fc2f282abeffa">
  <xsd:schema xmlns:xsd="http://www.w3.org/2001/XMLSchema" xmlns:xs="http://www.w3.org/2001/XMLSchema" xmlns:p="http://schemas.microsoft.com/office/2006/metadata/properties" xmlns:ns2="e1dbec1b-5380-4841-8f52-9b0e228a9310" xmlns:ns3="a9d656df-bdb6-49eb-b737-341170c2f580" targetNamespace="http://schemas.microsoft.com/office/2006/metadata/properties" ma:root="true" ma:fieldsID="5d5b7fd6eb2c0a47810fa02d9f682fe0" ns2:_="" ns3:_="">
    <xsd:import namespace="e1dbec1b-5380-4841-8f52-9b0e228a9310"/>
    <xsd:import namespace="a9d656df-bdb6-49eb-b737-341170c2f580"/>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dbec1b-5380-4841-8f52-9b0e228a9310"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3dd62027-ed96-4983-945a-15f311422590"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d656df-bdb6-49eb-b737-341170c2f580"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343f33e1-ff9b-4f9b-aa22-d193a13142a5}" ma:internalName="TaxCatchAll" ma:showField="CatchAllData" ma:web="a9d656df-bdb6-49eb-b737-341170c2f58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0733B1D-6BB3-43E2-B441-99D1689DEA12}">
  <ds:schemaRefs>
    <ds:schemaRef ds:uri="http://schemas.openxmlformats.org/officeDocument/2006/bibliography"/>
  </ds:schemaRefs>
</ds:datastoreItem>
</file>

<file path=customXml/itemProps2.xml><?xml version="1.0" encoding="utf-8"?>
<ds:datastoreItem xmlns:ds="http://schemas.openxmlformats.org/officeDocument/2006/customXml" ds:itemID="{8617F80D-3349-47B5-AAC1-C9A3E201CC7B}">
  <ds:schemaRefs>
    <ds:schemaRef ds:uri="http://schemas.microsoft.com/office/2006/metadata/properties"/>
    <ds:schemaRef ds:uri="http://schemas.microsoft.com/office/infopath/2007/PartnerControls"/>
    <ds:schemaRef ds:uri="a9d656df-bdb6-49eb-b737-341170c2f580"/>
    <ds:schemaRef ds:uri="e1dbec1b-5380-4841-8f52-9b0e228a9310"/>
  </ds:schemaRefs>
</ds:datastoreItem>
</file>

<file path=customXml/itemProps3.xml><?xml version="1.0" encoding="utf-8"?>
<ds:datastoreItem xmlns:ds="http://schemas.openxmlformats.org/officeDocument/2006/customXml" ds:itemID="{D0ACC487-AE33-4F37-85AA-3B1C44663C0D}">
  <ds:schemaRefs>
    <ds:schemaRef ds:uri="http://schemas.microsoft.com/sharepoint/v3/contenttype/forms"/>
  </ds:schemaRefs>
</ds:datastoreItem>
</file>

<file path=customXml/itemProps4.xml><?xml version="1.0" encoding="utf-8"?>
<ds:datastoreItem xmlns:ds="http://schemas.openxmlformats.org/officeDocument/2006/customXml" ds:itemID="{59B81B9B-1F16-4828-AD5F-B45BCC0B8E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dbec1b-5380-4841-8f52-9b0e228a9310"/>
    <ds:schemaRef ds:uri="a9d656df-bdb6-49eb-b737-341170c2f5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875</Words>
  <Characters>4992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Sirah Awan</dc:creator>
  <cp:keywords/>
  <dc:description/>
  <cp:lastModifiedBy>Rayyan Rabbani</cp:lastModifiedBy>
  <cp:revision>2</cp:revision>
  <dcterms:created xsi:type="dcterms:W3CDTF">2026-10-07T14:20:00Z</dcterms:created>
  <dcterms:modified xsi:type="dcterms:W3CDTF">2026-10-07T14:20:00Z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0x010100E5D200EEEDCD5A4D8A8F26A0ACD4718F</vt:lpwstr>
  </property>
  <property fmtid="{D5CDD505-2E9C-101B-9397-08002B2CF9AE}" pid="3" name="MediaServiceImageTags">
    <vt:lpwstr/>
  </property>
</Properties>
</file>