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08DA" w14:textId="77777777" w:rsidR="00DC138D" w:rsidRPr="00C53542" w:rsidRDefault="00DC138D" w:rsidP="00DC138D">
      <w:pPr>
        <w:spacing w:line="360" w:lineRule="auto"/>
        <w:rPr>
          <w:rFonts w:ascii="Arial" w:eastAsia="Yu Mincho" w:hAnsi="Arial" w:cs="Arial"/>
          <w:kern w:val="0"/>
          <w:sz w:val="20"/>
          <w:szCs w:val="20"/>
          <w:lang w:val="en-US"/>
          <w14:ligatures w14:val="none"/>
        </w:rPr>
      </w:pPr>
    </w:p>
    <w:p w14:paraId="0D1A7AF9" w14:textId="2F9F812B" w:rsidR="00DC138D" w:rsidRPr="00C53542" w:rsidRDefault="00A46522" w:rsidP="00DC138D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Yu Mincho" w:hAnsi="Arial" w:cs="Arial"/>
          <w:b/>
          <w:kern w:val="0"/>
          <w:sz w:val="20"/>
          <w:szCs w:val="20"/>
          <w:lang w:bidi="pt-PT"/>
          <w14:ligatures w14:val="none"/>
        </w:rPr>
        <w:t>9</w:t>
      </w:r>
      <w:r w:rsidR="00DC138D" w:rsidRPr="00C53542">
        <w:rPr>
          <w:rFonts w:ascii="Arial" w:eastAsia="Yu Mincho" w:hAnsi="Arial" w:cs="Arial"/>
          <w:b/>
          <w:kern w:val="0"/>
          <w:sz w:val="20"/>
          <w:szCs w:val="20"/>
          <w:lang w:bidi="pt-PT"/>
          <w14:ligatures w14:val="none"/>
        </w:rPr>
        <w:t xml:space="preserve"> de junho de 2025</w:t>
      </w:r>
    </w:p>
    <w:p w14:paraId="28C41E70" w14:textId="233CE5FE" w:rsidR="00DC138D" w:rsidRPr="00902CF0" w:rsidRDefault="00DC138D" w:rsidP="00DC138D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14:ligatures w14:val="none"/>
        </w:rPr>
      </w:pPr>
      <w:r w:rsidRPr="00C53542">
        <w:rPr>
          <w:rFonts w:ascii="Arial" w:eastAsia="Yu Mincho" w:hAnsi="Arial" w:cs="Arial"/>
          <w:b/>
          <w:kern w:val="0"/>
          <w:lang w:bidi="pt-PT"/>
          <w14:ligatures w14:val="none"/>
        </w:rPr>
        <w:t>FUJIFILM Business Innovation lança a icónica Revoria Press™ PC2120</w:t>
      </w:r>
    </w:p>
    <w:p w14:paraId="41BEC34D" w14:textId="77777777" w:rsidR="00DC138D" w:rsidRPr="00902CF0" w:rsidRDefault="00DC138D" w:rsidP="00DC138D">
      <w:pPr>
        <w:spacing w:line="360" w:lineRule="auto"/>
        <w:jc w:val="both"/>
        <w:rPr>
          <w:rFonts w:ascii="Arial" w:eastAsia="Yu Mincho" w:hAnsi="Arial" w:cs="Arial"/>
          <w:bCs/>
          <w:i/>
          <w:iCs/>
          <w:kern w:val="0"/>
          <w:sz w:val="20"/>
          <w:szCs w:val="20"/>
          <w14:ligatures w14:val="none"/>
        </w:rPr>
      </w:pPr>
      <w:r w:rsidRPr="00C53542">
        <w:rPr>
          <w:rFonts w:ascii="Arial" w:eastAsia="Yu Mincho" w:hAnsi="Arial" w:cs="Arial"/>
          <w:i/>
          <w:kern w:val="0"/>
          <w:sz w:val="20"/>
          <w:szCs w:val="20"/>
          <w:lang w:bidi="pt-PT"/>
          <w14:ligatures w14:val="none"/>
        </w:rPr>
        <w:t>Automação avançada com tecnologia IA, combinada com uma gama de cores alargada que inclui um novo toner verde desenvolvido especialmente</w:t>
      </w:r>
    </w:p>
    <w:p w14:paraId="48330B9B" w14:textId="77777777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:lang w:val="fr-BE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A FUJIFILM Business Innovation anuncia o lançamento da Revoria Press™ PC2120 (doravante designada por “Revoria PC2120”), o novo e icónico modelo da série Revoria Press™ destinada à impressão profissional de alta qualidade. Com base no sucesso da Revoria Press</w:t>
      </w:r>
      <w:r w:rsidRPr="00C53542">
        <w:rPr>
          <w:rFonts w:ascii="Arial" w:eastAsia="Yu Mincho" w:hAnsi="Arial" w:cs="Arial"/>
          <w:kern w:val="0"/>
          <w:sz w:val="20"/>
          <w:szCs w:val="20"/>
          <w:vertAlign w:val="superscript"/>
          <w:lang w:bidi="pt-PT"/>
          <w14:ligatures w14:val="none"/>
        </w:rPr>
        <w:t xml:space="preserve">TM </w:t>
      </w: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 xml:space="preserve">PC1120 (doravante designada por “Revoria PC1120”),a PC2120 inclui automação avançada com tecnologia IA, uma gama de cores alargada, com um inovador toner verde, e impressão de seis cores em uma única passagem de extrema fiabilidade, utilizando CMYK e dois toners especiais. A gama alargada de toner especiais da Fujifilm é agora composta por sete toners, incluindo as opções já existentes, nomeadamente dourado, prateado, rosa e branco, ajudando a satisfazer as diferentes necessidades dos clientes e a promover uma maior expressão criativa. Isto permite uma reprodução vívida das cores, aproximando-se muito mais da paleta de cores RGB que os designers veem no ecrã. </w:t>
      </w:r>
    </w:p>
    <w:p w14:paraId="6DD754C6" w14:textId="6877B208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:lang w:val="fr-BE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Na sequência do lançamento bem-sucedido e do amplo reconhecimento da Revoria PC1120 no Japão, na Ásia-Pacífico, na Europa e na América do Norte, a Revoria PC2120 foi desenvolvida como modelo da geração seguinte. Esta vem reforçar os pontos fortes já consagrados da Revoria PC1120 em termos de elevada qualidade de imagem e produtividade, incorporando funções de automatização alargadas e uma gama de cores imprimíveis mais ampla.</w:t>
      </w:r>
    </w:p>
    <w:p w14:paraId="2EBA01EF" w14:textId="52F5D10B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:sz w:val="20"/>
          <w:szCs w:val="20"/>
          <w:lang w:val="fr-BE"/>
          <w14:ligatures w14:val="none"/>
        </w:rPr>
      </w:pPr>
      <w:r w:rsidRPr="00C53542">
        <w:rPr>
          <w:rFonts w:ascii="Arial" w:eastAsia="Yu Mincho" w:hAnsi="Arial" w:cs="Arial"/>
          <w:b/>
          <w:kern w:val="0"/>
          <w:sz w:val="20"/>
          <w:szCs w:val="20"/>
          <w:lang w:bidi="pt-PT"/>
          <w14:ligatures w14:val="none"/>
        </w:rPr>
        <w:t>Automação com tecnologia de IA para pré-impressão | Alta qualidade e produtividade na impressão</w:t>
      </w:r>
    </w:p>
    <w:p w14:paraId="30E8EB31" w14:textId="0607E281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 xml:space="preserve">A Revoria PC2120 simplifica fluxos de trabalho complexos com funcionalidades de IA exclusivas. Na pré-impressão, um novo Analisador de Substrato analisa o papel carregado e recomenda automaticamente as definições adequadas, reduzindo o tempo de configuração e otimizando a eficiência operacional. A servidor de impressão Revoria Flow™ utiliza IA para digitalizar documentos e recomendar automaticamente os melhores ajustes de qualidade da imagem, tais como o aumento da nitidez do texto ou de linhas finas. O sistema de IA também identifica elementos nas fotografias ou imagens, como pessoas ou paisagens, e aplica as correções adequadas para garantir resultados de alta qualidade, independentemente da experiência do operador. Durante a impressão, mesmo ao utilizar toners especiais </w:t>
      </w:r>
      <w:r w:rsidRPr="00C53542">
        <w:rPr>
          <w:rFonts w:ascii="Arial" w:eastAsia="Yu Mincho" w:hAnsi="Arial" w:cs="Arial"/>
          <w:kern w:val="0"/>
          <w:sz w:val="20"/>
          <w:szCs w:val="20"/>
          <w:vertAlign w:val="superscript"/>
          <w:lang w:bidi="pt-PT"/>
          <w14:ligatures w14:val="none"/>
        </w:rPr>
        <w:t>*1</w:t>
      </w: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, o Smart Monitoring Gate</w:t>
      </w:r>
      <w:r w:rsidRPr="00C53542">
        <w:rPr>
          <w:rFonts w:ascii="Arial" w:eastAsia="Yu Mincho" w:hAnsi="Arial" w:cs="Arial"/>
          <w:kern w:val="0"/>
          <w:sz w:val="20"/>
          <w:szCs w:val="20"/>
          <w:vertAlign w:val="superscript"/>
          <w:lang w:bidi="pt-PT"/>
          <w14:ligatures w14:val="none"/>
        </w:rPr>
        <w:t>*2</w:t>
      </w: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 xml:space="preserve"> deteta continuamente as </w:t>
      </w: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lastRenderedPageBreak/>
        <w:t>variações da cor no papel e desalinhamentos de registo, corrigindo-os automaticamente em tempo real, sem que seja afetada a velocidade de impressão. Desta forma, a máquina mantém uma qualidade de produção estável sem necessidade de conhecimentos especializados por parte do operador.</w:t>
      </w:r>
    </w:p>
    <w:p w14:paraId="72938792" w14:textId="77777777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</w:p>
    <w:p w14:paraId="3C8E24F2" w14:textId="6BA936C4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 w:rsidRPr="00C53542">
        <w:rPr>
          <w:rFonts w:ascii="Arial" w:eastAsia="Yu Mincho" w:hAnsi="Arial" w:cs="Arial"/>
          <w:b/>
          <w:kern w:val="0"/>
          <w:sz w:val="20"/>
          <w:szCs w:val="20"/>
          <w:lang w:bidi="pt-PT"/>
          <w14:ligatures w14:val="none"/>
        </w:rPr>
        <w:t xml:space="preserve">Ampliação da gama de cores com o novo toner verde </w:t>
      </w:r>
    </w:p>
    <w:p w14:paraId="0C9FFD5C" w14:textId="3B6181AA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Para produzir impressões com maior impacto, a Revoria PC2120 apresenta um inovador toner verde especializado, a par do toner rosa já existente. Em conjunto, estes toners ampliam a gama de cores imprimíveis para obter 93%*</w:t>
      </w:r>
      <w:r w:rsidRPr="00C53542">
        <w:rPr>
          <w:rFonts w:ascii="Arial" w:eastAsia="Yu Mincho" w:hAnsi="Arial" w:cs="Arial"/>
          <w:kern w:val="0"/>
          <w:sz w:val="20"/>
          <w:szCs w:val="20"/>
          <w:vertAlign w:val="superscript"/>
          <w:lang w:bidi="pt-PT"/>
          <w14:ligatures w14:val="none"/>
        </w:rPr>
        <w:t>3</w:t>
      </w: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 xml:space="preserve"> das cores Pantone. O novo toner verde, quando combinado com o rosa, produz cores excecionalmente vivas que se assemelham bastante às cores RGB que os designers veem nos ecrãs. Além de tudo isto, a Revoria PC2120 simplifica a impressão de cores especiais de gama ampla com funcionalidades como a separação automática das cores, convertendo dados RGB em camadas CMYK, mais as camadas especiais de verde e rosa, Deste modo, reduz-se significativamente o tempo e a complexidade da edição na pré-impressão.</w:t>
      </w:r>
    </w:p>
    <w:p w14:paraId="2DAB2E12" w14:textId="26B83B77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:sz w:val="20"/>
          <w:szCs w:val="20"/>
          <w:u w:val="single"/>
          <w:lang w:val="en-US"/>
          <w14:ligatures w14:val="none"/>
        </w:rPr>
      </w:pPr>
      <w:r w:rsidRPr="00C53542">
        <w:rPr>
          <w:rFonts w:ascii="Arial" w:eastAsia="Yu Mincho" w:hAnsi="Arial" w:cs="Arial"/>
          <w:b/>
          <w:kern w:val="0"/>
          <w:sz w:val="20"/>
          <w:szCs w:val="20"/>
          <w:u w:val="single"/>
          <w:lang w:bidi="pt-PT"/>
          <w14:ligatures w14:val="none"/>
        </w:rPr>
        <w:t>Outras características:</w:t>
      </w:r>
    </w:p>
    <w:p w14:paraId="1B133E2F" w14:textId="77777777" w:rsidR="00DC138D" w:rsidRPr="00C53542" w:rsidRDefault="00DC138D" w:rsidP="00DC138D">
      <w:pPr>
        <w:numPr>
          <w:ilvl w:val="0"/>
          <w:numId w:val="1"/>
        </w:num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:lang w:val="fr-BE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Para além de CMYK, a impressora suporta duas cores de toner especiais. Oferece também funcionalidades de suporte robustas para facilitar a utilização de cores especiais.</w:t>
      </w:r>
    </w:p>
    <w:p w14:paraId="1ABEE330" w14:textId="47B88B68" w:rsidR="00DD0FAB" w:rsidRPr="00902CF0" w:rsidRDefault="00DC138D" w:rsidP="00DC13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Gama de toners especiais: Verde, Rosa, Dourado, Prateado, Transparente, Branco, Papel texturizado</w:t>
      </w:r>
    </w:p>
    <w:p w14:paraId="7A505617" w14:textId="77777777" w:rsidR="00DD0FAB" w:rsidRPr="00902CF0" w:rsidRDefault="00DC138D" w:rsidP="00DD0F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Ao usar toner rosa, um processo simples separa automaticamente parte da chapa magenta, transformando-a numa chapa rosa, permitindo obter cores vivas e brilhantes. A textura também confere um acabamento suave e elegante ao material impresso.</w:t>
      </w:r>
    </w:p>
    <w:p w14:paraId="72AAC423" w14:textId="7703B1AE" w:rsidR="00DC138D" w:rsidRPr="00C53542" w:rsidRDefault="00DD0FAB" w:rsidP="00DD0F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A função de pré-visualização permite ao operador verificar a expressão de cor dos toners especiais no ecrã. Deste modo, é reduzido o tempo e o esforço necessários para verificação das cores e é minimizado o número de impressões de teste, permitindo uma execução eficiente dos designs. Adicionalmente, um visualizador que pode ser integrado em sites de impressão online permite-lhe verificar o acabamento dos toners especiais antes de enviar os dados de impressão.</w:t>
      </w:r>
    </w:p>
    <w:p w14:paraId="1C336A3A" w14:textId="77777777" w:rsidR="00DC138D" w:rsidRPr="00C53542" w:rsidRDefault="00DC138D" w:rsidP="00DC138D">
      <w:pPr>
        <w:numPr>
          <w:ilvl w:val="0"/>
          <w:numId w:val="1"/>
        </w:num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Impressão de alta qualidade com o toner Super EA-Eco, com um dos tamanhos de partícula de toner mais pequenos do setor, e alta resolução de 2400 dpi, a par de uma velocidade de impressão até 120 páginas por minuto*</w:t>
      </w:r>
      <w:r w:rsidRPr="00C53542">
        <w:rPr>
          <w:rFonts w:ascii="Arial" w:eastAsia="Yu Mincho" w:hAnsi="Arial" w:cs="Arial"/>
          <w:kern w:val="0"/>
          <w:sz w:val="20"/>
          <w:szCs w:val="20"/>
          <w:vertAlign w:val="superscript"/>
          <w:lang w:bidi="pt-PT"/>
          <w14:ligatures w14:val="none"/>
        </w:rPr>
        <w:t>4</w:t>
      </w: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.</w:t>
      </w:r>
    </w:p>
    <w:p w14:paraId="7B7F021E" w14:textId="77777777" w:rsidR="00DC138D" w:rsidRPr="00C53542" w:rsidRDefault="00DC138D" w:rsidP="00DC138D">
      <w:pPr>
        <w:numPr>
          <w:ilvl w:val="0"/>
          <w:numId w:val="1"/>
        </w:num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:lang w:val="fr-BE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lastRenderedPageBreak/>
        <w:t>O servidor de impressão Revoria Flow™ permite gerar dados de imagem de alta qualidade através de processamento RIP a 1200 × 1200 dpi. Está também disponível o servidor de impressão Fiery, sendo que os clientes têm várias opções de servidores de impressão à sua disposição para melhor satisfazer as suas necessidades.</w:t>
      </w:r>
    </w:p>
    <w:p w14:paraId="52812AF0" w14:textId="77777777" w:rsidR="00DC138D" w:rsidRPr="00C53542" w:rsidRDefault="00DC138D" w:rsidP="00DC138D">
      <w:pPr>
        <w:numPr>
          <w:ilvl w:val="0"/>
          <w:numId w:val="1"/>
        </w:num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Equipada com Alimentador por Aspiração*</w:t>
      </w:r>
      <w:r w:rsidRPr="00C53542">
        <w:rPr>
          <w:rFonts w:ascii="Arial" w:eastAsia="Yu Mincho" w:hAnsi="Arial" w:cs="Arial"/>
          <w:kern w:val="0"/>
          <w:sz w:val="20"/>
          <w:szCs w:val="20"/>
          <w:vertAlign w:val="superscript"/>
          <w:lang w:bidi="pt-PT"/>
          <w14:ligatures w14:val="none"/>
        </w:rPr>
        <w:t>2</w:t>
      </w: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, que garante uma alimentação fiável mesmo no caso de papéis revestidos, que tendem a colar-se facilmente. Além disso, o Eliminador de Eletricidade Estática D1*</w:t>
      </w:r>
      <w:r w:rsidRPr="00C53542">
        <w:rPr>
          <w:rFonts w:ascii="Arial" w:eastAsia="Yu Mincho" w:hAnsi="Arial" w:cs="Arial"/>
          <w:kern w:val="0"/>
          <w:sz w:val="20"/>
          <w:szCs w:val="20"/>
          <w:vertAlign w:val="superscript"/>
          <w:lang w:bidi="pt-PT"/>
          <w14:ligatures w14:val="none"/>
        </w:rPr>
        <w:t>2</w:t>
      </w: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 xml:space="preserve"> elimina a eletricidade estática das folhas à saída, evitando a aderência entre elas e permitindo uma transição suave para o processo seguinte — mesmo durante a utilização de películas ou papéis metálicos propensos à acumulação de eletricidade estática.</w:t>
      </w:r>
    </w:p>
    <w:p w14:paraId="405924B6" w14:textId="77777777" w:rsidR="00DC138D" w:rsidRPr="00C53542" w:rsidRDefault="00DC138D" w:rsidP="00DC138D">
      <w:pPr>
        <w:numPr>
          <w:ilvl w:val="0"/>
          <w:numId w:val="1"/>
        </w:num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Suporta uma vasta gama de tipos de papel, do papel fino (52 g/m²) ao papel espesso (400 g/m²) *</w:t>
      </w:r>
      <w:r w:rsidRPr="00C53542">
        <w:rPr>
          <w:rFonts w:ascii="Arial" w:eastAsia="Yu Mincho" w:hAnsi="Arial" w:cs="Arial"/>
          <w:kern w:val="0"/>
          <w:sz w:val="20"/>
          <w:szCs w:val="20"/>
          <w:vertAlign w:val="superscript"/>
          <w:lang w:bidi="pt-PT"/>
          <w14:ligatures w14:val="none"/>
        </w:rPr>
        <w:t>5</w:t>
      </w: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, e formatos de papel que vão do tamanho de postal (98 x 146 mm) até às folhas longas (até 330 x 1300 mm) *</w:t>
      </w:r>
      <w:r w:rsidRPr="00C53542">
        <w:rPr>
          <w:rFonts w:ascii="Arial" w:eastAsia="Yu Mincho" w:hAnsi="Arial" w:cs="Arial"/>
          <w:kern w:val="0"/>
          <w:sz w:val="20"/>
          <w:szCs w:val="20"/>
          <w:vertAlign w:val="superscript"/>
          <w:lang w:bidi="pt-PT"/>
          <w14:ligatures w14:val="none"/>
        </w:rPr>
        <w:t>6</w:t>
      </w: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>, proporcionando resultados de alta qualidade para os mais diversos trabalhos de impressão.</w:t>
      </w:r>
    </w:p>
    <w:p w14:paraId="36E226B2" w14:textId="77777777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1CF34692" w14:textId="5487753B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kern w:val="0"/>
          <w:sz w:val="16"/>
          <w:szCs w:val="16"/>
          <w:lang w:val="fr-BE"/>
          <w14:ligatures w14:val="none"/>
        </w:rPr>
      </w:pP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*1: Verde, Rosa, Dourado, Prateado e Branco.</w:t>
      </w:r>
    </w:p>
    <w:p w14:paraId="3BE70297" w14:textId="77777777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kern w:val="0"/>
          <w:sz w:val="16"/>
          <w:szCs w:val="16"/>
          <w:lang w:val="fr-BE"/>
          <w14:ligatures w14:val="none"/>
        </w:rPr>
      </w:pPr>
      <w:bookmarkStart w:id="0" w:name="_Hlk214263419"/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*2</w:t>
      </w: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：</w:t>
      </w: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Produtos opcionais</w:t>
      </w:r>
    </w:p>
    <w:bookmarkEnd w:id="0"/>
    <w:p w14:paraId="285B337F" w14:textId="77777777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kern w:val="0"/>
          <w:sz w:val="16"/>
          <w:szCs w:val="16"/>
          <w:lang w:val="fr-BE"/>
          <w14:ligatures w14:val="none"/>
        </w:rPr>
      </w:pP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*3</w:t>
      </w: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：</w:t>
      </w: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Confirmado pela Pantone LLC (EUA) que 93% das cores de referência no PANTONE FORMULA GUIDE Solid Coated têm uma diferença de cor (ΔE00) igual ou inferior a 3 quando impressas.</w:t>
      </w:r>
    </w:p>
    <w:p w14:paraId="4DD36468" w14:textId="77777777" w:rsidR="00DC138D" w:rsidRPr="00902CF0" w:rsidRDefault="00DC138D" w:rsidP="00DC138D">
      <w:pPr>
        <w:spacing w:line="360" w:lineRule="auto"/>
        <w:jc w:val="both"/>
        <w:rPr>
          <w:rFonts w:ascii="Arial" w:eastAsia="Yu Mincho" w:hAnsi="Arial" w:cs="Arial"/>
          <w:kern w:val="0"/>
          <w:sz w:val="16"/>
          <w:szCs w:val="16"/>
          <w14:ligatures w14:val="none"/>
        </w:rPr>
      </w:pP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*4</w:t>
      </w: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：</w:t>
      </w: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Ao imprimir em papel A4 não revestido com gramagem entre 52 e 400 g/m².</w:t>
      </w:r>
    </w:p>
    <w:p w14:paraId="41BFB862" w14:textId="77777777" w:rsidR="00DC138D" w:rsidRPr="00902CF0" w:rsidRDefault="00DC138D" w:rsidP="00DC138D">
      <w:pPr>
        <w:spacing w:line="360" w:lineRule="auto"/>
        <w:jc w:val="both"/>
        <w:rPr>
          <w:rFonts w:ascii="Arial" w:eastAsia="Yu Mincho" w:hAnsi="Arial" w:cs="Arial"/>
          <w:kern w:val="0"/>
          <w:sz w:val="16"/>
          <w:szCs w:val="16"/>
          <w14:ligatures w14:val="none"/>
        </w:rPr>
      </w:pPr>
      <w:bookmarkStart w:id="1" w:name="_Hlk206575773"/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*5</w:t>
      </w: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：</w:t>
      </w: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Ao utilizar o Alimentador por Aspiração.</w:t>
      </w:r>
    </w:p>
    <w:p w14:paraId="73114FD4" w14:textId="77777777" w:rsidR="00DC138D" w:rsidRPr="00902CF0" w:rsidRDefault="00DC138D" w:rsidP="00DC138D">
      <w:pPr>
        <w:spacing w:line="360" w:lineRule="auto"/>
        <w:jc w:val="both"/>
        <w:rPr>
          <w:rFonts w:ascii="Arial" w:eastAsia="Yu Mincho" w:hAnsi="Arial" w:cs="Arial"/>
          <w:kern w:val="0"/>
          <w:sz w:val="16"/>
          <w:szCs w:val="16"/>
          <w14:ligatures w14:val="none"/>
        </w:rPr>
      </w:pP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*6</w:t>
      </w: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：</w:t>
      </w:r>
      <w:r w:rsidRPr="00C53542">
        <w:rPr>
          <w:rFonts w:ascii="Arial" w:eastAsia="Yu Mincho" w:hAnsi="Arial" w:cs="Arial"/>
          <w:kern w:val="0"/>
          <w:sz w:val="16"/>
          <w:szCs w:val="16"/>
          <w:lang w:bidi="pt-PT"/>
          <w14:ligatures w14:val="none"/>
        </w:rPr>
        <w:t>Requer tabuleiros de alimentação e saída opcionais compatíveis para impressão de folhas longas.</w:t>
      </w:r>
    </w:p>
    <w:bookmarkEnd w:id="1"/>
    <w:p w14:paraId="468EBCE2" w14:textId="77777777" w:rsidR="00DC138D" w:rsidRPr="00C53542" w:rsidRDefault="00DC138D" w:rsidP="00DC138D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bidi="pt-PT"/>
          <w14:ligatures w14:val="none"/>
        </w:rPr>
        <w:t xml:space="preserve"> </w:t>
      </w:r>
    </w:p>
    <w:p w14:paraId="6CF0F64D" w14:textId="77777777" w:rsidR="00DC138D" w:rsidRPr="00902CF0" w:rsidRDefault="00DC138D" w:rsidP="00DC138D">
      <w:pPr>
        <w:spacing w:after="0" w:line="360" w:lineRule="auto"/>
        <w:jc w:val="center"/>
        <w:textAlignment w:val="baseline"/>
        <w:rPr>
          <w:rFonts w:ascii="Arial" w:eastAsia="Yu Mincho" w:hAnsi="Arial" w:cs="Arial"/>
          <w:kern w:val="0"/>
          <w:sz w:val="20"/>
          <w:szCs w:val="20"/>
          <w:lang w:val="en-GB" w:eastAsia="en-GB"/>
          <w14:ligatures w14:val="none"/>
        </w:rPr>
      </w:pPr>
      <w:r w:rsidRPr="00902CF0">
        <w:rPr>
          <w:rFonts w:ascii="Arial" w:eastAsia="Times New Roman" w:hAnsi="Arial" w:cs="Arial"/>
          <w:b/>
          <w:kern w:val="0"/>
          <w:sz w:val="20"/>
          <w:szCs w:val="20"/>
          <w:lang w:val="en-GB" w:bidi="pt-PT"/>
          <w14:ligatures w14:val="none"/>
        </w:rPr>
        <w:t>FIM</w:t>
      </w:r>
    </w:p>
    <w:p w14:paraId="7325DDC2" w14:textId="77777777" w:rsidR="00DC138D" w:rsidRPr="00902CF0" w:rsidRDefault="00DC138D" w:rsidP="00DC138D">
      <w:pPr>
        <w:spacing w:after="0" w:line="360" w:lineRule="auto"/>
        <w:textAlignment w:val="baseline"/>
        <w:rPr>
          <w:rFonts w:ascii="Arial" w:eastAsia="Yu Mincho" w:hAnsi="Arial" w:cs="Arial"/>
          <w:kern w:val="0"/>
          <w:sz w:val="20"/>
          <w:szCs w:val="20"/>
          <w:lang w:val="en-GB" w:eastAsia="en-GB"/>
          <w14:ligatures w14:val="none"/>
        </w:rPr>
      </w:pPr>
    </w:p>
    <w:p w14:paraId="0EB94A00" w14:textId="77777777" w:rsidR="00DC138D" w:rsidRPr="00902CF0" w:rsidRDefault="00DC138D" w:rsidP="00DC138D">
      <w:pPr>
        <w:spacing w:after="0" w:line="36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val="en-GB" w:eastAsia="en-GB"/>
          <w14:ligatures w14:val="none"/>
        </w:rPr>
      </w:pPr>
      <w:r w:rsidRPr="00C53542">
        <w:rPr>
          <w:rFonts w:ascii="Arial" w:eastAsia="Yu Mincho" w:hAnsi="Arial" w:cs="Arial"/>
          <w:kern w:val="0"/>
          <w:sz w:val="20"/>
          <w:szCs w:val="20"/>
          <w:lang w:val="en-GB" w:eastAsia="en-GB" w:bidi="en-GB"/>
          <w14:ligatures w14:val="none"/>
        </w:rPr>
        <w:t> </w:t>
      </w:r>
    </w:p>
    <w:p w14:paraId="4ACEBB11" w14:textId="77777777" w:rsidR="00902CF0" w:rsidRPr="004216F3" w:rsidRDefault="00902CF0" w:rsidP="00902CF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Sobre a FUJIFILM Corporation</w:t>
      </w:r>
      <w:r>
        <w:tab/>
      </w:r>
      <w:r w:rsidRPr="2541F1A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77EB67F8" w14:textId="77777777" w:rsidR="00902CF0" w:rsidRPr="004216F3" w:rsidRDefault="00902CF0" w:rsidP="00902CF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A FUJIFILM Corporation é uma das mais importantes empresas operacionais da FUJIFILM Holdings. Desde a sua fundação em 1934, a empresa tem concebido uma série de tecnologias avançadas no campo da imagiologia fotográfica, e em linha com os seus esforços no sentido de tornar-se uma empresa de cuidados de saúde abrangente, a Fujifilm está agora a aplicar estas tecnologias para prevenção, diagnóstico e tratamento de doenças nas áreas das Ciências médicas e da vida. A Fujifilm está igualmente a expandir o crescimento no setor dos materiais altamente funcionais, incluindo materiais para ecrãs planos, bem como nos negócios de sistemas gráficos e dispositivos óticos.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1D008B68" w14:textId="77777777" w:rsidR="00902CF0" w:rsidRPr="004216F3" w:rsidRDefault="00902CF0" w:rsidP="00902CF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lastRenderedPageBreak/>
        <w:t> 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38F0E76E" w14:textId="77777777" w:rsidR="00902CF0" w:rsidRPr="004216F3" w:rsidRDefault="00902CF0" w:rsidP="00902CF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Sobre a Divisão de Comunicações Gráficas da FUJIFILM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0CEB27DA" w14:textId="77777777" w:rsidR="00902CF0" w:rsidRPr="004216F3" w:rsidRDefault="00902CF0" w:rsidP="00902CF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A Divisão de Comunicações Gráficas da FUJIFILM é um parceiro estável e antigo focado em oferecer soluções de impressão de alta qualidade e tecnicamente avançadas, que ajudem as gráficas a desenvolver vantagens competitivas e a impulsionar os respetivos negócios. A estabilidade financeira da empresa e o investimento sem precedentes em I&amp;D permitem-lhe desenvolver tecnologias exclusivas para uma impressão de excelência. Estas incluem soluções de pré-impressão e imprensa para a impressão offset, de grande formato e digital, bem como software de fluxo de trabalho para gestão da produção de impressão. A Fujifilm está empenhada em minimizar o impacto ambiental dos seus produtos e operações, trabalhando proativamente no sentido de preservar o ambiente, e esforça-se por instruir as gráficas relativamente às melhores práticas ambientais. Para obter mais informações, aceda a </w:t>
      </w:r>
      <w:hyperlink r:id="rId10">
        <w:r w:rsidRPr="2541F1A7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fujifilmprint.eu</w:t>
        </w:r>
      </w:hyperlink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ou </w:t>
      </w:r>
      <w:hyperlink r:id="rId11">
        <w:r w:rsidRPr="2541F1A7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youtube.com/FujifilmGSEurope</w:t>
        </w:r>
      </w:hyperlink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ou siga-nos em @FujifilmPrint.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34649536" w14:textId="77777777" w:rsidR="00902CF0" w:rsidRPr="004216F3" w:rsidRDefault="00902CF0" w:rsidP="00902CF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</w:t>
      </w:r>
    </w:p>
    <w:p w14:paraId="11BD093E" w14:textId="77777777" w:rsidR="00902CF0" w:rsidRPr="004216F3" w:rsidRDefault="00902CF0" w:rsidP="00902CF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F004BF9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Para obter mais informações, contacte: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</w:t>
      </w:r>
    </w:p>
    <w:p w14:paraId="1C185416" w14:textId="77777777" w:rsidR="00902CF0" w:rsidRPr="001A1534" w:rsidRDefault="00902CF0" w:rsidP="00902CF0">
      <w:pPr>
        <w:pStyle w:val="paragraph"/>
        <w:spacing w:before="0" w:beforeAutospacing="0" w:after="0" w:afterAutospacing="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1A153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>Amanda Galvez</w:t>
      </w:r>
    </w:p>
    <w:p w14:paraId="6C5E8B2F" w14:textId="77777777" w:rsidR="00902CF0" w:rsidRPr="001A1534" w:rsidRDefault="00902CF0" w:rsidP="00902CF0">
      <w:pPr>
        <w:pStyle w:val="paragraph"/>
        <w:spacing w:before="0" w:beforeAutospacing="0" w:after="0" w:afterAutospacing="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1A153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>AD Communications</w:t>
      </w:r>
      <w:r w:rsidRPr="001A153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ab/>
      </w:r>
      <w:r w:rsidRPr="001A153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>          </w:t>
      </w:r>
    </w:p>
    <w:p w14:paraId="020E76F3" w14:textId="77777777" w:rsidR="00902CF0" w:rsidRPr="001A1534" w:rsidRDefault="00902CF0" w:rsidP="00902CF0">
      <w:pPr>
        <w:pStyle w:val="paragraph"/>
        <w:spacing w:before="0" w:beforeAutospacing="0" w:after="0" w:afterAutospacing="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1A153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E: </w:t>
      </w:r>
      <w:hyperlink r:id="rId12" w:history="1">
        <w:r w:rsidRPr="001A1534">
          <w:rPr>
            <w:rStyle w:val="Hyperlink"/>
            <w:rFonts w:ascii="Arial" w:eastAsia="Arial" w:hAnsi="Arial" w:cs="Arial"/>
            <w:sz w:val="20"/>
            <w:szCs w:val="20"/>
            <w:lang w:val="cs-CZ"/>
          </w:rPr>
          <w:t>agalvez@adcomms.co.uk</w:t>
        </w:r>
      </w:hyperlink>
      <w:r w:rsidRPr="001A153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           </w:t>
      </w:r>
    </w:p>
    <w:p w14:paraId="292F53E0" w14:textId="7FF5F8E7" w:rsidR="003836D1" w:rsidRPr="00C53542" w:rsidRDefault="00902CF0" w:rsidP="00902CF0">
      <w:r w:rsidRPr="001A153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>Tel: +44 (0)1372 464470  </w:t>
      </w:r>
    </w:p>
    <w:sectPr w:rsidR="003836D1" w:rsidRPr="00C53542" w:rsidSect="00DC138D">
      <w:headerReference w:type="default" r:id="rId13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90B4" w14:textId="77777777" w:rsidR="0037588B" w:rsidRDefault="0037588B">
      <w:pPr>
        <w:spacing w:after="0" w:line="240" w:lineRule="auto"/>
      </w:pPr>
      <w:r>
        <w:separator/>
      </w:r>
    </w:p>
  </w:endnote>
  <w:endnote w:type="continuationSeparator" w:id="0">
    <w:p w14:paraId="44867B10" w14:textId="77777777" w:rsidR="0037588B" w:rsidRDefault="0037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C1ED" w14:textId="77777777" w:rsidR="0037588B" w:rsidRDefault="0037588B">
      <w:pPr>
        <w:spacing w:after="0" w:line="240" w:lineRule="auto"/>
      </w:pPr>
      <w:r>
        <w:separator/>
      </w:r>
    </w:p>
  </w:footnote>
  <w:footnote w:type="continuationSeparator" w:id="0">
    <w:p w14:paraId="70E472CD" w14:textId="77777777" w:rsidR="0037588B" w:rsidRDefault="0037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4234" w14:textId="77777777" w:rsidR="00DC138D" w:rsidRDefault="00DC138D" w:rsidP="00A46B91">
    <w:pPr>
      <w:pStyle w:val="Header"/>
    </w:pPr>
    <w:r>
      <w:rPr>
        <w:b/>
        <w:noProof/>
        <w:lang w:bidi="pt-PT"/>
      </w:rPr>
      <w:drawing>
        <wp:anchor distT="0" distB="0" distL="114300" distR="114300" simplePos="0" relativeHeight="251659264" behindDoc="1" locked="0" layoutInCell="1" allowOverlap="1" wp14:anchorId="28E31E7A" wp14:editId="2C14F3B5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D621DF" wp14:editId="43DE4DEA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42D60" id="Rectangle 2" o:spid="_x0000_s1026" style="position:absolute;margin-left:0;margin-top:29.3pt;width:603pt;height:7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71DD9549" w14:textId="77777777" w:rsidR="00DC138D" w:rsidRDefault="00DC1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74093"/>
    <w:multiLevelType w:val="hybridMultilevel"/>
    <w:tmpl w:val="CB8AF2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E574DF"/>
    <w:multiLevelType w:val="hybridMultilevel"/>
    <w:tmpl w:val="C518CEFC"/>
    <w:lvl w:ilvl="0" w:tplc="0A84D3B0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5098B"/>
    <w:multiLevelType w:val="hybridMultilevel"/>
    <w:tmpl w:val="D10651F0"/>
    <w:lvl w:ilvl="0" w:tplc="D0A4DBB8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678337">
    <w:abstractNumId w:val="0"/>
  </w:num>
  <w:num w:numId="2" w16cid:durableId="1467316284">
    <w:abstractNumId w:val="2"/>
  </w:num>
  <w:num w:numId="3" w16cid:durableId="125817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8D"/>
    <w:rsid w:val="001C34F6"/>
    <w:rsid w:val="00214FD4"/>
    <w:rsid w:val="0037588B"/>
    <w:rsid w:val="003836D1"/>
    <w:rsid w:val="004919D4"/>
    <w:rsid w:val="004C27C9"/>
    <w:rsid w:val="00866E15"/>
    <w:rsid w:val="00902CF0"/>
    <w:rsid w:val="00A46522"/>
    <w:rsid w:val="00C53542"/>
    <w:rsid w:val="00DC138D"/>
    <w:rsid w:val="00DD0FAB"/>
    <w:rsid w:val="00E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D786"/>
  <w15:chartTrackingRefBased/>
  <w15:docId w15:val="{F598A840-072A-43D7-BF6A-9C8FDA1B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3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138D"/>
    <w:pPr>
      <w:tabs>
        <w:tab w:val="center" w:pos="4513"/>
        <w:tab w:val="right" w:pos="9026"/>
      </w:tabs>
      <w:spacing w:after="0" w:line="240" w:lineRule="auto"/>
    </w:pPr>
    <w:rPr>
      <w:rFonts w:eastAsia="Yu Mincho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C138D"/>
    <w:rPr>
      <w:rFonts w:eastAsia="Yu Mincho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38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138D"/>
    <w:rPr>
      <w:sz w:val="18"/>
      <w:szCs w:val="18"/>
    </w:rPr>
  </w:style>
  <w:style w:type="paragraph" w:customStyle="1" w:styleId="paragraph">
    <w:name w:val="paragraph"/>
    <w:basedOn w:val="Normal"/>
    <w:rsid w:val="0090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02CF0"/>
  </w:style>
  <w:style w:type="character" w:styleId="Hyperlink">
    <w:name w:val="Hyperlink"/>
    <w:basedOn w:val="DefaultParagraphFont"/>
    <w:uiPriority w:val="99"/>
    <w:unhideWhenUsed/>
    <w:rsid w:val="00902C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galvez@adcomm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youtube.com/FujifilmGSEurop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ujifilmprint.eu/pt-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F42E6-2C64-4DFF-A51D-B5C1DED63A86}">
  <ds:schemaRefs>
    <ds:schemaRef ds:uri="http://schemas.microsoft.com/office/2006/metadata/properties"/>
    <ds:schemaRef ds:uri="http://schemas.microsoft.com/office/infopath/2007/PartnerControls"/>
    <ds:schemaRef ds:uri="99002472-082e-4f7c-852a-ba5060275ab4"/>
    <ds:schemaRef ds:uri="a9d656df-bdb6-49eb-b737-341170c2f580"/>
  </ds:schemaRefs>
</ds:datastoreItem>
</file>

<file path=customXml/itemProps2.xml><?xml version="1.0" encoding="utf-8"?>
<ds:datastoreItem xmlns:ds="http://schemas.openxmlformats.org/officeDocument/2006/customXml" ds:itemID="{A8ABE3E3-95F1-4CE9-94CB-1EB2197CF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9771E-0DC9-40A2-864B-7456D974C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Emily Fennell</cp:lastModifiedBy>
  <cp:revision>5</cp:revision>
  <dcterms:created xsi:type="dcterms:W3CDTF">2026-05-21T15:38:00Z</dcterms:created>
  <dcterms:modified xsi:type="dcterms:W3CDTF">2026-06-03T13:20:00Z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124abbf6-b931-4224-9c2a-4e7afd46eb29</vt:lpwstr>
  </property>
  <property fmtid="{D5CDD505-2E9C-101B-9397-08002B2CF9AE}" pid="3" name="ContentTypeId">
    <vt:lpwstr>0x01010045D3991C5BDE3047904E609F73C1087C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