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BBC4" w14:textId="10DA81D2" w:rsidR="000A0D37" w:rsidRPr="000A0D37" w:rsidRDefault="000A0D37" w:rsidP="000A0D37">
      <w:pPr>
        <w:spacing w:after="120" w:line="264" w:lineRule="auto"/>
        <w:rPr>
          <w:rFonts w:ascii="SiemensSans Pro" w:eastAsia="SiemensSans Pro" w:hAnsi="SiemensSans Pro" w:cs="Times New Roman"/>
          <w:b/>
          <w:caps/>
          <w:kern w:val="0"/>
          <w:lang w:val="en-US"/>
          <w14:ligatures w14:val="none"/>
        </w:rPr>
      </w:pPr>
      <w:r>
        <w:rPr>
          <w:rFonts w:ascii="SiemensSans Pro" w:eastAsia="SiemensSans Pro" w:hAnsi="SiemensSans Pro" w:cs="Times New Roman"/>
          <w:b/>
          <w:caps/>
          <w:kern w:val="0"/>
          <w:lang w:val="en-US"/>
          <w14:ligatures w14:val="none"/>
        </w:rPr>
        <w:t>Case STUDY</w:t>
      </w:r>
      <w:r w:rsidR="00201E27">
        <w:rPr>
          <w:rFonts w:ascii="SiemensSans Pro" w:eastAsia="SiemensSans Pro" w:hAnsi="SiemensSans Pro" w:cs="Times New Roman"/>
          <w:b/>
          <w:caps/>
          <w:kern w:val="0"/>
          <w:lang w:val="en-US"/>
          <w14:ligatures w14:val="none"/>
        </w:rPr>
        <w:t xml:space="preserve"> – </w:t>
      </w:r>
      <w:r w:rsidR="00E72DF3">
        <w:rPr>
          <w:rFonts w:ascii="SiemensSans Pro" w:eastAsia="SiemensSans Pro" w:hAnsi="SiemensSans Pro" w:cs="Times New Roman"/>
          <w:b/>
          <w:caps/>
          <w:kern w:val="0"/>
          <w:lang w:val="en-US"/>
          <w14:ligatures w14:val="none"/>
        </w:rPr>
        <w:t>22</w:t>
      </w:r>
      <w:r w:rsidR="00E72DF3">
        <w:rPr>
          <w:rFonts w:ascii="SiemensSans Pro" w:eastAsia="SiemensSans Pro" w:hAnsi="SiemensSans Pro" w:cs="Times New Roman"/>
          <w:b/>
          <w:caps/>
          <w:kern w:val="0"/>
          <w:vertAlign w:val="superscript"/>
          <w:lang w:val="en-US"/>
          <w14:ligatures w14:val="none"/>
        </w:rPr>
        <w:t xml:space="preserve">nd </w:t>
      </w:r>
      <w:r w:rsidR="00201E27">
        <w:rPr>
          <w:rFonts w:ascii="SiemensSans Pro" w:eastAsia="SiemensSans Pro" w:hAnsi="SiemensSans Pro" w:cs="Times New Roman"/>
          <w:b/>
          <w:caps/>
          <w:kern w:val="0"/>
          <w:lang w:val="en-US"/>
          <w14:ligatures w14:val="none"/>
        </w:rPr>
        <w:t>September 2026</w:t>
      </w:r>
    </w:p>
    <w:p w14:paraId="58087E2C" w14:textId="38CA90CB" w:rsidR="000A0D37" w:rsidRPr="00201E27" w:rsidRDefault="000A0D37" w:rsidP="000A0D37">
      <w:pPr>
        <w:spacing w:line="324" w:lineRule="auto"/>
        <w:rPr>
          <w:rFonts w:ascii="SiemensSans Pro" w:eastAsia="SiemensSans Pro" w:hAnsi="SiemensSans Pro" w:cs="Times New Roman"/>
          <w:kern w:val="0"/>
          <w:sz w:val="36"/>
          <w:szCs w:val="36"/>
          <w:lang w:val="en-US"/>
          <w14:ligatures w14:val="none"/>
        </w:rPr>
      </w:pPr>
      <w:r w:rsidRPr="00201E27">
        <w:rPr>
          <w:rFonts w:ascii="SiemensSans Pro" w:eastAsia="Times New Roman" w:hAnsi="SiemensSans Pro" w:cs="Times New Roman"/>
          <w:kern w:val="0"/>
          <w:sz w:val="36"/>
          <w:szCs w:val="36"/>
          <w14:ligatures w14:val="none"/>
        </w:rPr>
        <w:t>London Borough of Croydon Council delivers safer roads, greater transparency and funding confidence with Confirm</w:t>
      </w:r>
    </w:p>
    <w:p w14:paraId="00722FC9"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The London Borough of Croydon adopted the Confirm asset management system in 2018 as part of a major transformation of its highways and infrastructure services. The introduction of Confirm coincided with a new highway maintenance contract with FM Conway and formed a key pillar of Croydon’s strategy to simplify operations, reduce system fragmentation and improve transparency across services.</w:t>
      </w:r>
    </w:p>
    <w:p w14:paraId="7E676F9C"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 </w:t>
      </w:r>
    </w:p>
    <w:p w14:paraId="4802AA66"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Prior to Confirm, Croydon relied on four to five different software platforms, alongside multiple spreadsheets, to manage highways and related assets. This fragmented approach created duplicated effort, data silos and limited visibility between teams. The council’s objective was clear: consolidate assets, inspections, jobs and performance data into a single, trusted system that could support a modern, mobile and data</w:t>
      </w:r>
      <w:r w:rsidRPr="000A0D37">
        <w:rPr>
          <w:rFonts w:ascii="SiemensSans Pro" w:eastAsia="SiemensSans Pro" w:hAnsi="SiemensSans Pro" w:cs="Times New Roman"/>
          <w:kern w:val="0"/>
          <w:szCs w:val="26"/>
          <w14:ligatures w14:val="none"/>
        </w:rPr>
        <w:noBreakHyphen/>
        <w:t xml:space="preserve">driven highways service. </w:t>
      </w:r>
    </w:p>
    <w:p w14:paraId="799F9044"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69109C99" w14:textId="294FE8B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Today, Confirm is used across highways, drainage, parks, trees and woodlands, supporting operational delivery, contractor management, financial reporting and statutory compliance. What began with the Trees and Woodlands team has grown into a multiservice platform underpinning the council’s day</w:t>
      </w:r>
      <w:r w:rsidRPr="000A0D37">
        <w:rPr>
          <w:rFonts w:ascii="SiemensSans Pro" w:eastAsia="SiemensSans Pro" w:hAnsi="SiemensSans Pro" w:cs="Times New Roman"/>
          <w:kern w:val="0"/>
          <w:szCs w:val="26"/>
          <w14:ligatures w14:val="none"/>
        </w:rPr>
        <w:noBreakHyphen/>
        <w:t>to</w:t>
      </w:r>
      <w:r w:rsidRPr="000A0D37">
        <w:rPr>
          <w:rFonts w:ascii="SiemensSans Pro" w:eastAsia="SiemensSans Pro" w:hAnsi="SiemensSans Pro" w:cs="Times New Roman"/>
          <w:kern w:val="0"/>
          <w:szCs w:val="26"/>
          <w14:ligatures w14:val="none"/>
        </w:rPr>
        <w:noBreakHyphen/>
        <w:t xml:space="preserve">day infrastructure management. </w:t>
      </w:r>
    </w:p>
    <w:p w14:paraId="6D63B651"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4CD32B70" w14:textId="77777777"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Operational leadership: Highways and drainage services</w:t>
      </w:r>
    </w:p>
    <w:p w14:paraId="1C82966B"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Confirm’s success in Croydon is closely linked to the leadership of Rowland Gordon, Highway Operations Manager, and Daisi Osibona, Drainage Engineer, who has over 20 years’ experience at the council. Together, they have championed Confirm as a practical tool for improving operational control, transparency and efficiency across complex and diverse asset portfolios. </w:t>
      </w:r>
    </w:p>
    <w:p w14:paraId="6D733D1B"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758E785C" w14:textId="58D1388C"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Daisi oversees drainage and flood risk management</w:t>
      </w:r>
      <w:r>
        <w:rPr>
          <w:rFonts w:ascii="SiemensSans Pro" w:eastAsia="SiemensSans Pro" w:hAnsi="SiemensSans Pro" w:cs="Times New Roman"/>
          <w:kern w:val="0"/>
          <w:szCs w:val="26"/>
          <w14:ligatures w14:val="none"/>
        </w:rPr>
        <w:t xml:space="preserve">, </w:t>
      </w:r>
      <w:r w:rsidRPr="000A0D37">
        <w:rPr>
          <w:rFonts w:ascii="SiemensSans Pro" w:eastAsia="SiemensSans Pro" w:hAnsi="SiemensSans Pro" w:cs="Times New Roman"/>
          <w:kern w:val="0"/>
          <w:szCs w:val="26"/>
          <w14:ligatures w14:val="none"/>
        </w:rPr>
        <w:t>operating as a specialist function supported by consultants and contractors. Confirm plays a critical role in enabling this relatively small team to manage a high volume of enquiries, inspections and reactive events with confidence</w:t>
      </w:r>
      <w:r>
        <w:rPr>
          <w:rFonts w:ascii="SiemensSans Pro" w:eastAsia="SiemensSans Pro" w:hAnsi="SiemensSans Pro" w:cs="Times New Roman"/>
          <w:kern w:val="0"/>
          <w:szCs w:val="26"/>
          <w14:ligatures w14:val="none"/>
        </w:rPr>
        <w:t>.</w:t>
      </w:r>
    </w:p>
    <w:p w14:paraId="7A3CCC9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022D6F74"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Reflecting on the impact of the system on day</w:t>
      </w:r>
      <w:r w:rsidRPr="000A0D37">
        <w:rPr>
          <w:rFonts w:ascii="SiemensSans Pro" w:eastAsia="SiemensSans Pro" w:hAnsi="SiemensSans Pro" w:cs="Times New Roman"/>
          <w:kern w:val="0"/>
          <w:szCs w:val="26"/>
          <w14:ligatures w14:val="none"/>
        </w:rPr>
        <w:noBreakHyphen/>
        <w:t>to</w:t>
      </w:r>
      <w:r w:rsidRPr="000A0D37">
        <w:rPr>
          <w:rFonts w:ascii="SiemensSans Pro" w:eastAsia="SiemensSans Pro" w:hAnsi="SiemensSans Pro" w:cs="Times New Roman"/>
          <w:kern w:val="0"/>
          <w:szCs w:val="26"/>
          <w14:ligatures w14:val="none"/>
        </w:rPr>
        <w:noBreakHyphen/>
        <w:t xml:space="preserve">day working, Daisi explained: </w:t>
      </w:r>
    </w:p>
    <w:p w14:paraId="3AB973F4" w14:textId="7C0C628B"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lastRenderedPageBreak/>
        <w:t xml:space="preserve">“It’s much quicker for me now. I can go straight into the enquiry, view the photos, find the asset and decide what action to take almost immediately.” </w:t>
      </w:r>
    </w:p>
    <w:p w14:paraId="222C060F"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79745424"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From a strategic perspective, Rowland and his team sought a system that could scale across departments while remaining flexible enough to meet specialist operational needs. Confirm’s modular design and proven track record across local authority services made it the preferred choice. </w:t>
      </w:r>
    </w:p>
    <w:p w14:paraId="16747D07"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6169FFF7" w14:textId="7ECCEB86"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As Rowland noted, “We were using four or five different systems before. Bringing everything into one place and having a single source of truth was a major factor in choosing Confirm.” </w:t>
      </w:r>
    </w:p>
    <w:p w14:paraId="5E00B9D9"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1939CB6E" w14:textId="47ECC16B"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From fragmented systems to a single source of truth </w:t>
      </w:r>
    </w:p>
    <w:p w14:paraId="6D4E1577" w14:textId="77777777"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p>
    <w:p w14:paraId="67016848"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Before Confirm, Croydon’s highways and drainage teams operated across disconnected systems and spreadsheets, each holding partial views of assets and activity. This made it difficult to track performance consistently, demonstrate compliance or respond quickly to emerging issues. </w:t>
      </w:r>
    </w:p>
    <w:p w14:paraId="7B8AA131"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2BFD8F3A" w14:textId="02112692"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 fundamentally changed this by consolidating all highway, drainage, parks, tree and playground assets into a single system. For the first time, Croydon had a single source of truth for inspections, works orders, asset condition and contractor activity. </w:t>
      </w:r>
    </w:p>
    <w:p w14:paraId="7B504B18"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766A9C4F" w14:textId="49126568"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This consolidation has reduced duplication, improved accountability and created a much clearer operational picture across services. Asset data that once existed in isolated spreadsheets is now centrally managed, searchable and auditable, giving teams greater confidence in the information they rely on. </w:t>
      </w:r>
    </w:p>
    <w:p w14:paraId="4568C40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23BDB56D" w14:textId="00B23CDC"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Mobile working and measurable efficiency gains </w:t>
      </w:r>
    </w:p>
    <w:p w14:paraId="6D501527"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58E9239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Mobile capability was one of the most decisive factors in Croydon’s choice of Confirm. At the time of procurement, it was the only solution that fully supported both Apple and Android devices, allowing inspectors and contractors to work flexibly in the field using their preferred hardware. </w:t>
      </w:r>
    </w:p>
    <w:p w14:paraId="5982AB15"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14A0B8C4" w14:textId="0307B3A0"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The impact on productivity has been significant. Since moving from Confirm Enterprise to Confirm Web, Daisi reports a clear improvement in efficiency when dealing with enquiries: </w:t>
      </w:r>
    </w:p>
    <w:p w14:paraId="40FC10F9"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“Where I might have processed five enquiries before, I can now do ten using the web version. It’s much quicker to search, view photos and decide whether to raise a job.” </w:t>
      </w:r>
    </w:p>
    <w:p w14:paraId="7A99BA8C"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28C19AAE" w14:textId="2123EF22"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Inspectors can now access enquiries directly, review linked images, locate assets on maps and raise works orders in a matter of clicks. This has improved responsiveness across services, particularly for drainage and flood</w:t>
      </w:r>
      <w:r w:rsidRPr="000A0D37">
        <w:rPr>
          <w:rFonts w:ascii="SiemensSans Pro" w:eastAsia="SiemensSans Pro" w:hAnsi="SiemensSans Pro" w:cs="Times New Roman"/>
          <w:kern w:val="0"/>
          <w:szCs w:val="26"/>
          <w14:ligatures w14:val="none"/>
        </w:rPr>
        <w:noBreakHyphen/>
        <w:t xml:space="preserve">related issues where timing is critical. </w:t>
      </w:r>
    </w:p>
    <w:p w14:paraId="6BA557A7" w14:textId="77777777"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p>
    <w:p w14:paraId="08A5D0E0" w14:textId="6B886C08"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Performance management, KPIs and contractor oversight </w:t>
      </w:r>
    </w:p>
    <w:p w14:paraId="4460745E" w14:textId="77777777"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Confirm plays a central role in Croydon’s performance management framework. The system is used to track key performance indicators, including task completion times, job accuracy and financial payments through contractor self</w:t>
      </w:r>
      <w:r w:rsidRPr="000A0D37">
        <w:rPr>
          <w:rFonts w:ascii="SiemensSans Pro" w:eastAsia="SiemensSans Pro" w:hAnsi="SiemensSans Pro" w:cs="Times New Roman"/>
          <w:kern w:val="0"/>
          <w:szCs w:val="26"/>
          <w14:ligatures w14:val="none"/>
        </w:rPr>
        <w:noBreakHyphen/>
        <w:t xml:space="preserve">reporting. </w:t>
      </w:r>
    </w:p>
    <w:p w14:paraId="34399433" w14:textId="50255CA8" w:rsidR="003836D1"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For highways maintenance, Confirm records when orders are issued, when works are completed and whether they meet agreed timeframes. This visibility supports effective contract management and helps ensure consistent service standards are maintained. Financial control has also improved, with payment applications captured digitally, reducing disputes and providing clearer audit trails. </w:t>
      </w:r>
    </w:p>
    <w:p w14:paraId="673EA6C6" w14:textId="0D00067F" w:rsidR="000A0D37" w:rsidRDefault="000A0D37">
      <w:pPr>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Transparency, funding and compliance</w:t>
      </w:r>
    </w:p>
    <w:p w14:paraId="171D1F81" w14:textId="77777777"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 has become an essential tool for Croydon’s statutory reporting and funding compliance, particularly with the Department for Transport (DfT). The council uses data from Confirm to produce transparency reports detailing pothole reports received, repairs completed and response times. </w:t>
      </w:r>
    </w:p>
    <w:p w14:paraId="14FE55A3" w14:textId="4361B9AE"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This capability directly supports Croydon’s ability to secure vital funding. For the 2026–2027 period, the council receives £1.4 million in baseline funding, with access to a further £1 million contingent on demonstrating transparency and strong data governance. By publishing Confirm</w:t>
      </w:r>
      <w:r w:rsidRPr="000A0D37">
        <w:rPr>
          <w:rFonts w:ascii="SiemensSans Pro" w:eastAsia="SiemensSans Pro" w:hAnsi="SiemensSans Pro" w:cs="Times New Roman"/>
          <w:kern w:val="0"/>
          <w:szCs w:val="26"/>
          <w14:ligatures w14:val="none"/>
        </w:rPr>
        <w:noBreakHyphen/>
        <w:t xml:space="preserve">backed transparency reports, Croydon has successfully met these requirements and unlocked additional funding to reinvest in the network. </w:t>
      </w:r>
    </w:p>
    <w:p w14:paraId="0130D1CD" w14:textId="43CACC6D" w:rsidR="000A0D37" w:rsidRDefault="000A0D37">
      <w:pPr>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Reactive maintenance, emergency response and risk reduction</w:t>
      </w:r>
    </w:p>
    <w:p w14:paraId="0AC50CA7" w14:textId="6581D9DE"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In drainage operations, Confirm supports a more proactive and cost</w:t>
      </w:r>
      <w:r w:rsidRPr="00201E27">
        <w:rPr>
          <w:rFonts w:ascii="SiemensSans Pro" w:eastAsia="SiemensSans Pro" w:hAnsi="SiemensSans Pro" w:cs="Times New Roman"/>
          <w:kern w:val="0"/>
          <w:szCs w:val="26"/>
          <w14:ligatures w14:val="none"/>
        </w:rPr>
        <w:noBreakHyphen/>
        <w:t xml:space="preserve">effective approach to maintenance. Contractors log gully cleansing activity and silt levels directly into the system, allowing the council to </w:t>
      </w:r>
      <w:r w:rsidR="00783E5D">
        <w:rPr>
          <w:rFonts w:ascii="SiemensSans Pro" w:eastAsia="SiemensSans Pro" w:hAnsi="SiemensSans Pro" w:cs="Times New Roman"/>
          <w:kern w:val="0"/>
          <w:szCs w:val="26"/>
          <w14:ligatures w14:val="none"/>
        </w:rPr>
        <w:t>optimise</w:t>
      </w:r>
      <w:r w:rsidRPr="00201E27">
        <w:rPr>
          <w:rFonts w:ascii="SiemensSans Pro" w:eastAsia="SiemensSans Pro" w:hAnsi="SiemensSans Pro" w:cs="Times New Roman"/>
          <w:kern w:val="0"/>
          <w:szCs w:val="26"/>
          <w14:ligatures w14:val="none"/>
        </w:rPr>
        <w:t xml:space="preserve"> cleaning frequencies. Low</w:t>
      </w:r>
      <w:r w:rsidRPr="00201E27">
        <w:rPr>
          <w:rFonts w:ascii="SiemensSans Pro" w:eastAsia="SiemensSans Pro" w:hAnsi="SiemensSans Pro" w:cs="Times New Roman"/>
          <w:kern w:val="0"/>
          <w:szCs w:val="26"/>
          <w14:ligatures w14:val="none"/>
        </w:rPr>
        <w:noBreakHyphen/>
        <w:t xml:space="preserve">risk assets can be cleansed less frequently, while known hotspots are </w:t>
      </w:r>
      <w:r w:rsidR="00783E5D">
        <w:rPr>
          <w:rFonts w:ascii="SiemensSans Pro" w:eastAsia="SiemensSans Pro" w:hAnsi="SiemensSans Pro" w:cs="Times New Roman"/>
          <w:kern w:val="0"/>
          <w:szCs w:val="26"/>
          <w14:ligatures w14:val="none"/>
        </w:rPr>
        <w:t>prioritised</w:t>
      </w:r>
      <w:r w:rsidRPr="00201E27">
        <w:rPr>
          <w:rFonts w:ascii="SiemensSans Pro" w:eastAsia="SiemensSans Pro" w:hAnsi="SiemensSans Pro" w:cs="Times New Roman"/>
          <w:kern w:val="0"/>
          <w:szCs w:val="26"/>
          <w14:ligatures w14:val="none"/>
        </w:rPr>
        <w:t xml:space="preserve">. </w:t>
      </w:r>
    </w:p>
    <w:p w14:paraId="74CFD148"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Confirm also supports emergency response workflows. Weather alerts trigger proactive inspections and cleansing work orders, with all follow</w:t>
      </w:r>
      <w:r w:rsidRPr="00201E27">
        <w:rPr>
          <w:rFonts w:ascii="SiemensSans Pro" w:eastAsia="SiemensSans Pro" w:hAnsi="SiemensSans Pro" w:cs="Times New Roman"/>
          <w:kern w:val="0"/>
          <w:szCs w:val="26"/>
          <w14:ligatures w14:val="none"/>
        </w:rPr>
        <w:noBreakHyphen/>
        <w:t xml:space="preserve">up actions tracked centrally to ensure nothing is missed. </w:t>
      </w:r>
    </w:p>
    <w:p w14:paraId="0D3061D0"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 xml:space="preserve">The system has also strengthened Croydon’s ability to defend insurance and liability claims. Inspection records, photographs and maintenance histories are stored centrally, providing robust evidence when claims arise. </w:t>
      </w:r>
    </w:p>
    <w:p w14:paraId="6DC2E809"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 xml:space="preserve">As Rowland highlighted: </w:t>
      </w:r>
    </w:p>
    <w:p w14:paraId="512DD4A9" w14:textId="142515D2" w:rsidR="000A0D3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“We have a very good inspection regime and Confirm helps us evidence that. Having everything centrally recorded has helped us successfully defend claims.”</w:t>
      </w:r>
    </w:p>
    <w:p w14:paraId="759269D2" w14:textId="77777777" w:rsidR="00201E27" w:rsidRPr="00201E27" w:rsidRDefault="00201E27">
      <w:pPr>
        <w:rPr>
          <w:rFonts w:ascii="SiemensSans Pro" w:eastAsia="SiemensSans Pro" w:hAnsi="SiemensSans Pro" w:cs="Times New Roman"/>
          <w:b/>
          <w:bCs/>
          <w:kern w:val="0"/>
          <w:szCs w:val="26"/>
          <w14:ligatures w14:val="none"/>
        </w:rPr>
      </w:pPr>
      <w:r w:rsidRPr="00201E27">
        <w:rPr>
          <w:rFonts w:ascii="SiemensSans Pro" w:eastAsia="SiemensSans Pro" w:hAnsi="SiemensSans Pro" w:cs="Times New Roman"/>
          <w:b/>
          <w:bCs/>
          <w:kern w:val="0"/>
          <w:szCs w:val="26"/>
          <w14:ligatures w14:val="none"/>
        </w:rPr>
        <w:t xml:space="preserve">Data-driven insight and future opportunities </w:t>
      </w:r>
    </w:p>
    <w:p w14:paraId="52995C35"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Dashboards and mapping tools within Confirm help Croydon identify trends and hotspots across the borough. During periods of severe weather, teams use the system to support “find and fix” operations, directing contractors to areas with clusters of defects and capturing before</w:t>
      </w:r>
      <w:r w:rsidRPr="00201E27">
        <w:rPr>
          <w:rFonts w:ascii="SiemensSans Pro" w:eastAsia="SiemensSans Pro" w:hAnsi="SiemensSans Pro" w:cs="Times New Roman"/>
          <w:kern w:val="0"/>
          <w:szCs w:val="26"/>
          <w14:ligatures w14:val="none"/>
        </w:rPr>
        <w:noBreakHyphen/>
        <w:t>and</w:t>
      </w:r>
      <w:r w:rsidRPr="00201E27">
        <w:rPr>
          <w:rFonts w:ascii="SiemensSans Pro" w:eastAsia="SiemensSans Pro" w:hAnsi="SiemensSans Pro" w:cs="Times New Roman"/>
          <w:kern w:val="0"/>
          <w:szCs w:val="26"/>
          <w14:ligatures w14:val="none"/>
        </w:rPr>
        <w:noBreakHyphen/>
        <w:t xml:space="preserve">after evidence. </w:t>
      </w:r>
    </w:p>
    <w:p w14:paraId="3B4E971E" w14:textId="31B0DC83"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Croydon continues to work closely with Brightly</w:t>
      </w:r>
      <w:r>
        <w:rPr>
          <w:rFonts w:ascii="SiemensSans Pro" w:eastAsia="SiemensSans Pro" w:hAnsi="SiemensSans Pro" w:cs="Times New Roman"/>
          <w:kern w:val="0"/>
          <w:szCs w:val="26"/>
          <w14:ligatures w14:val="none"/>
        </w:rPr>
        <w:t xml:space="preserve"> </w:t>
      </w:r>
      <w:r w:rsidRPr="00201E27">
        <w:rPr>
          <w:rFonts w:ascii="SiemensSans Pro" w:eastAsia="SiemensSans Pro" w:hAnsi="SiemensSans Pro" w:cs="Times New Roman"/>
          <w:kern w:val="0"/>
          <w:szCs w:val="26"/>
          <w14:ligatures w14:val="none"/>
        </w:rPr>
        <w:t>Siemens through regular account reviews and is exploring extending Confirm into additional services, adopting managed services, and integrating sensor technology for real</w:t>
      </w:r>
      <w:r w:rsidRPr="00201E27">
        <w:rPr>
          <w:rFonts w:ascii="SiemensSans Pro" w:eastAsia="SiemensSans Pro" w:hAnsi="SiemensSans Pro" w:cs="Times New Roman"/>
          <w:kern w:val="0"/>
          <w:szCs w:val="26"/>
          <w14:ligatures w14:val="none"/>
        </w:rPr>
        <w:noBreakHyphen/>
        <w:t>time drainage monitoring. Through Confirm, the council has built a transparent, resilient and data</w:t>
      </w:r>
      <w:r w:rsidRPr="00201E27">
        <w:rPr>
          <w:rFonts w:ascii="SiemensSans Pro" w:eastAsia="SiemensSans Pro" w:hAnsi="SiemensSans Pro" w:cs="Times New Roman"/>
          <w:kern w:val="0"/>
          <w:szCs w:val="26"/>
          <w14:ligatures w14:val="none"/>
        </w:rPr>
        <w:noBreakHyphen/>
        <w:t xml:space="preserve">driven foundation for safer roads and more efficient public services. </w:t>
      </w:r>
    </w:p>
    <w:p w14:paraId="3B13FF2C" w14:textId="77777777" w:rsidR="00201E27" w:rsidRDefault="00201E27">
      <w:pPr>
        <w:rPr>
          <w:rFonts w:ascii="SiemensSans Pro" w:eastAsia="SiemensSans Pro" w:hAnsi="SiemensSans Pro" w:cs="Times New Roman"/>
          <w:kern w:val="0"/>
          <w:szCs w:val="26"/>
          <w14:ligatures w14:val="none"/>
        </w:rPr>
      </w:pPr>
    </w:p>
    <w:p w14:paraId="4E986437" w14:textId="77777777" w:rsidR="00201E27" w:rsidRDefault="00201E27" w:rsidP="00201E27">
      <w:pPr>
        <w:spacing w:after="480" w:line="288" w:lineRule="auto"/>
        <w:contextualSpacing/>
        <w:jc w:val="center"/>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ENDS</w:t>
      </w:r>
    </w:p>
    <w:p w14:paraId="4749794E" w14:textId="77777777" w:rsidR="00201E27" w:rsidRPr="00073C3C" w:rsidRDefault="00201E27" w:rsidP="00201E27">
      <w:pPr>
        <w:spacing w:after="480" w:line="288" w:lineRule="auto"/>
        <w:contextualSpacing/>
        <w:jc w:val="center"/>
        <w:rPr>
          <w:rFonts w:ascii="SiemensSans Pro" w:eastAsia="SiemensSans Pro" w:hAnsi="SiemensSans Pro" w:cs="Times New Roman"/>
          <w:b/>
          <w:bCs/>
          <w:kern w:val="0"/>
          <w:szCs w:val="26"/>
          <w14:ligatures w14:val="none"/>
        </w:rPr>
      </w:pPr>
    </w:p>
    <w:p w14:paraId="68BF91AE" w14:textId="77777777" w:rsidR="00201E27"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About Siemens, Asset Management Software (formerly Brightly Software)</w:t>
      </w:r>
    </w:p>
    <w:p w14:paraId="1844B314"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1E96CB34" w14:textId="77777777" w:rsidR="00201E27"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As a global leader in intelligent asset management, our intuitive cloud-based AI-empowered platform is expertly designed to improve capital planning through smarter, data-driven decision making, equip technicians to predict, prioritise and manage preventative maintenance activities and support organisations to achieve operational resiliency, compliance and efficiency goals.</w:t>
      </w:r>
    </w:p>
    <w:p w14:paraId="19FE4191"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4A260994" w14:textId="77777777" w:rsidR="00201E27"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About Siemens Smart Infrastructure</w:t>
      </w:r>
    </w:p>
    <w:p w14:paraId="304A4B8F"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2D4169CB"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Siemens Smart Infrastructure (SI) is shaping the market for intelligent, adaptive infrastructure for today and the future. It addresses the pressing challenges of urbanisation and climate change by connecting energy systems, buildings and industries. SI provides customers with a comprehensive end-to-end portfolio from a single source. Its portfolio spans products, systems, solutions, software and services from the point of power generation all the way to consumption – including infrastructure and asset lifecycle management. With an increasingly digitalised ecosystem, it helps customers thrive and communities progress while contributing toward protecting the planet. Siemens Smart Infrastructure has its global headquarters in Zug, Switzerland. As of September 30, 2024, the business had around 78,500 employees worldwide.</w:t>
      </w:r>
    </w:p>
    <w:p w14:paraId="4184571B"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0D0E6FCB" w14:textId="77777777" w:rsidR="00201E27" w:rsidRPr="00073C3C"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 xml:space="preserve">Issued on behalf of Siemens, Asset Management Software by AD Communications. For more information, contact: </w:t>
      </w:r>
    </w:p>
    <w:p w14:paraId="7DE36F12" w14:textId="77777777" w:rsidR="00201E27" w:rsidRPr="00073C3C" w:rsidRDefault="00201E27" w:rsidP="00201E27">
      <w:pPr>
        <w:spacing w:after="480" w:line="288" w:lineRule="auto"/>
        <w:contextualSpacing/>
        <w:rPr>
          <w:rFonts w:ascii="SiemensSans Pro" w:eastAsia="SiemensSans Pro" w:hAnsi="SiemensSans Pro" w:cs="Times New Roman"/>
          <w:b/>
          <w:bCs/>
          <w:kern w:val="0"/>
          <w:szCs w:val="26"/>
          <w14:ligatures w14:val="none"/>
        </w:rPr>
      </w:pPr>
    </w:p>
    <w:p w14:paraId="19290BD0"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b/>
          <w:bCs/>
          <w:kern w:val="0"/>
          <w:szCs w:val="26"/>
          <w14:ligatures w14:val="none"/>
        </w:rPr>
        <w:t>Rachelle Harry</w:t>
      </w:r>
      <w:r w:rsidRPr="00073C3C">
        <w:rPr>
          <w:rFonts w:ascii="SiemensSans Pro" w:eastAsia="SiemensSans Pro" w:hAnsi="SiemensSans Pro" w:cs="Times New Roman"/>
          <w:b/>
          <w:bCs/>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b/>
          <w:bCs/>
          <w:kern w:val="0"/>
          <w:szCs w:val="26"/>
          <w14:ligatures w14:val="none"/>
        </w:rPr>
        <w:t xml:space="preserve">Sara Carter </w:t>
      </w:r>
    </w:p>
    <w:p w14:paraId="56B6F138"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 xml:space="preserve">Account Director, </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Head of Marketing - EMEA</w:t>
      </w:r>
    </w:p>
    <w:p w14:paraId="4350D633"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AD Communications</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Siemens Asset Management Software</w:t>
      </w:r>
    </w:p>
    <w:p w14:paraId="0F3628BD"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rharry@adcomms.co.uk</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 xml:space="preserve">sara.carter@siemens.com </w:t>
      </w:r>
    </w:p>
    <w:p w14:paraId="2BC595B5"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Tel: +44 (0)7747 235 616</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Tel: +44 (0) 7921 248397</w:t>
      </w:r>
    </w:p>
    <w:p w14:paraId="560CF953"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lang w:val="en-US"/>
          <w14:ligatures w14:val="none"/>
        </w:rPr>
      </w:pPr>
    </w:p>
    <w:p w14:paraId="3BB94BA9" w14:textId="77777777" w:rsidR="00201E27" w:rsidRPr="00201E27" w:rsidRDefault="00201E27">
      <w:pPr>
        <w:rPr>
          <w:rFonts w:ascii="SiemensSans Pro" w:eastAsia="SiemensSans Pro" w:hAnsi="SiemensSans Pro" w:cs="Times New Roman"/>
          <w:kern w:val="0"/>
          <w:szCs w:val="26"/>
          <w14:ligatures w14:val="none"/>
        </w:rPr>
      </w:pPr>
    </w:p>
    <w:sectPr w:rsidR="00201E27" w:rsidRPr="00201E27" w:rsidSect="000A0D37">
      <w:headerReference w:type="first" r:id="rId9"/>
      <w:pgSz w:w="11906" w:h="16838" w:code="9"/>
      <w:pgMar w:top="2552" w:right="2267" w:bottom="1418" w:left="1418" w:header="90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3532B" w14:textId="77777777" w:rsidR="00780C6F" w:rsidRDefault="00780C6F">
      <w:pPr>
        <w:spacing w:after="0" w:line="240" w:lineRule="auto"/>
      </w:pPr>
      <w:r>
        <w:separator/>
      </w:r>
    </w:p>
  </w:endnote>
  <w:endnote w:type="continuationSeparator" w:id="0">
    <w:p w14:paraId="62690052" w14:textId="77777777" w:rsidR="00780C6F" w:rsidRDefault="0078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emensSans Pro">
    <w:altName w:val="Calibri"/>
    <w:charset w:val="00"/>
    <w:family w:val="swiss"/>
    <w:pitch w:val="variable"/>
    <w:sig w:usb0="A00002FF" w:usb1="500020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B4711" w14:textId="77777777" w:rsidR="00780C6F" w:rsidRDefault="00780C6F">
      <w:pPr>
        <w:spacing w:after="0" w:line="240" w:lineRule="auto"/>
      </w:pPr>
      <w:r>
        <w:separator/>
      </w:r>
    </w:p>
  </w:footnote>
  <w:footnote w:type="continuationSeparator" w:id="0">
    <w:p w14:paraId="759249A7" w14:textId="77777777" w:rsidR="00780C6F" w:rsidRDefault="00780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495F" w14:textId="77777777" w:rsidR="000A0D37" w:rsidRPr="00614653" w:rsidRDefault="000A0D37" w:rsidP="00F84DEE">
    <w:pPr>
      <w:pStyle w:val="Header"/>
      <w:tabs>
        <w:tab w:val="clear" w:pos="4513"/>
        <w:tab w:val="left" w:pos="1200"/>
      </w:tabs>
    </w:pPr>
    <w:r w:rsidRPr="00614653">
      <w:rPr>
        <w:noProof/>
      </w:rPr>
      <w:drawing>
        <wp:inline distT="0" distB="0" distL="0" distR="0" wp14:anchorId="2585E1C4" wp14:editId="1C32E843">
          <wp:extent cx="1659600" cy="324000"/>
          <wp:effectExtent l="0" t="0" r="0" b="0"/>
          <wp:docPr id="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771" r="1"/>
                  <a:stretch/>
                </pic:blipFill>
                <pic:spPr bwMode="auto">
                  <a:xfrm>
                    <a:off x="0" y="0"/>
                    <a:ext cx="1659600" cy="324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37"/>
    <w:rsid w:val="000A0D37"/>
    <w:rsid w:val="001C34F6"/>
    <w:rsid w:val="00201E27"/>
    <w:rsid w:val="003836D1"/>
    <w:rsid w:val="004B7755"/>
    <w:rsid w:val="00780C6F"/>
    <w:rsid w:val="00783E5D"/>
    <w:rsid w:val="008B5A8A"/>
    <w:rsid w:val="009A6C8E"/>
    <w:rsid w:val="00D236B3"/>
    <w:rsid w:val="00E72DF3"/>
    <w:rsid w:val="00EB638E"/>
    <w:rsid w:val="00FC7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E6B6A"/>
  <w15:chartTrackingRefBased/>
  <w15:docId w15:val="{75F4857A-E5EE-4E5C-BA75-9CEB718A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D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D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D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D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D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D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D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D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D37"/>
    <w:rPr>
      <w:rFonts w:eastAsiaTheme="majorEastAsia" w:cstheme="majorBidi"/>
      <w:color w:val="272727" w:themeColor="text1" w:themeTint="D8"/>
    </w:rPr>
  </w:style>
  <w:style w:type="paragraph" w:styleId="Title">
    <w:name w:val="Title"/>
    <w:basedOn w:val="Normal"/>
    <w:next w:val="Normal"/>
    <w:link w:val="TitleChar"/>
    <w:uiPriority w:val="10"/>
    <w:qFormat/>
    <w:rsid w:val="000A0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D37"/>
    <w:pPr>
      <w:spacing w:before="160"/>
      <w:jc w:val="center"/>
    </w:pPr>
    <w:rPr>
      <w:i/>
      <w:iCs/>
      <w:color w:val="404040" w:themeColor="text1" w:themeTint="BF"/>
    </w:rPr>
  </w:style>
  <w:style w:type="character" w:customStyle="1" w:styleId="QuoteChar">
    <w:name w:val="Quote Char"/>
    <w:basedOn w:val="DefaultParagraphFont"/>
    <w:link w:val="Quote"/>
    <w:uiPriority w:val="29"/>
    <w:rsid w:val="000A0D37"/>
    <w:rPr>
      <w:i/>
      <w:iCs/>
      <w:color w:val="404040" w:themeColor="text1" w:themeTint="BF"/>
    </w:rPr>
  </w:style>
  <w:style w:type="paragraph" w:styleId="ListParagraph">
    <w:name w:val="List Paragraph"/>
    <w:basedOn w:val="Normal"/>
    <w:uiPriority w:val="34"/>
    <w:qFormat/>
    <w:rsid w:val="000A0D37"/>
    <w:pPr>
      <w:ind w:left="720"/>
      <w:contextualSpacing/>
    </w:pPr>
  </w:style>
  <w:style w:type="character" w:styleId="IntenseEmphasis">
    <w:name w:val="Intense Emphasis"/>
    <w:basedOn w:val="DefaultParagraphFont"/>
    <w:uiPriority w:val="21"/>
    <w:qFormat/>
    <w:rsid w:val="000A0D37"/>
    <w:rPr>
      <w:i/>
      <w:iCs/>
      <w:color w:val="0F4761" w:themeColor="accent1" w:themeShade="BF"/>
    </w:rPr>
  </w:style>
  <w:style w:type="paragraph" w:styleId="IntenseQuote">
    <w:name w:val="Intense Quote"/>
    <w:basedOn w:val="Normal"/>
    <w:next w:val="Normal"/>
    <w:link w:val="IntenseQuoteChar"/>
    <w:uiPriority w:val="30"/>
    <w:qFormat/>
    <w:rsid w:val="000A0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D37"/>
    <w:rPr>
      <w:i/>
      <w:iCs/>
      <w:color w:val="0F4761" w:themeColor="accent1" w:themeShade="BF"/>
    </w:rPr>
  </w:style>
  <w:style w:type="character" w:styleId="IntenseReference">
    <w:name w:val="Intense Reference"/>
    <w:basedOn w:val="DefaultParagraphFont"/>
    <w:uiPriority w:val="32"/>
    <w:qFormat/>
    <w:rsid w:val="000A0D37"/>
    <w:rPr>
      <w:b/>
      <w:bCs/>
      <w:smallCaps/>
      <w:color w:val="0F4761" w:themeColor="accent1" w:themeShade="BF"/>
      <w:spacing w:val="5"/>
    </w:rPr>
  </w:style>
  <w:style w:type="paragraph" w:styleId="Header">
    <w:name w:val="header"/>
    <w:basedOn w:val="Normal"/>
    <w:link w:val="HeaderChar"/>
    <w:uiPriority w:val="99"/>
    <w:semiHidden/>
    <w:unhideWhenUsed/>
    <w:rsid w:val="000A0D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0D37"/>
  </w:style>
  <w:style w:type="table" w:styleId="TableGrid">
    <w:name w:val="Table Grid"/>
    <w:basedOn w:val="TableNormal"/>
    <w:uiPriority w:val="39"/>
    <w:rsid w:val="000A0D37"/>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6E5A3B343F2F49A0E6ADB59863A916" ma:contentTypeVersion="13" ma:contentTypeDescription="Create a new document." ma:contentTypeScope="" ma:versionID="064bdd934218c20477202529b961907b">
  <xsd:schema xmlns:xsd="http://www.w3.org/2001/XMLSchema" xmlns:xs="http://www.w3.org/2001/XMLSchema" xmlns:p="http://schemas.microsoft.com/office/2006/metadata/properties" xmlns:ns2="107815d9-ca69-4010-a571-38875b5f12e0" xmlns:ns3="bdedb154-dcf2-4d4a-8b3e-d585b6975686" targetNamespace="http://schemas.microsoft.com/office/2006/metadata/properties" ma:root="true" ma:fieldsID="33fd7d3ebb0827ad6fefa72020f31553" ns2:_="" ns3:_="">
    <xsd:import namespace="107815d9-ca69-4010-a571-38875b5f12e0"/>
    <xsd:import namespace="bdedb154-dcf2-4d4a-8b3e-d585b69756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815d9-ca69-4010-a571-38875b5f12e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db154-dcf2-4d4a-8b3e-d585b69756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a6aa78-731c-4452-94fc-6dd279b66438}" ma:internalName="TaxCatchAll" ma:showField="CatchAllData" ma:web="bdedb154-dcf2-4d4a-8b3e-d585b6975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7815d9-ca69-4010-a571-38875b5f12e0">
      <Terms xmlns="http://schemas.microsoft.com/office/infopath/2007/PartnerControls"/>
    </lcf76f155ced4ddcb4097134ff3c332f>
    <TaxCatchAll xmlns="bdedb154-dcf2-4d4a-8b3e-d585b6975686" xsi:nil="true"/>
  </documentManagement>
</p:properties>
</file>

<file path=customXml/itemProps1.xml><?xml version="1.0" encoding="utf-8"?>
<ds:datastoreItem xmlns:ds="http://schemas.openxmlformats.org/officeDocument/2006/customXml" ds:itemID="{2EBBFD4D-34AD-4B30-86C6-F1E1A22D8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815d9-ca69-4010-a571-38875b5f12e0"/>
    <ds:schemaRef ds:uri="bdedb154-dcf2-4d4a-8b3e-d585b6975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62883-E342-4E9A-8606-C342654B612B}">
  <ds:schemaRefs>
    <ds:schemaRef ds:uri="http://schemas.microsoft.com/sharepoint/v3/contenttype/forms"/>
  </ds:schemaRefs>
</ds:datastoreItem>
</file>

<file path=customXml/itemProps3.xml><?xml version="1.0" encoding="utf-8"?>
<ds:datastoreItem xmlns:ds="http://schemas.openxmlformats.org/officeDocument/2006/customXml" ds:itemID="{5A01DFF9-CE08-4C1B-B022-48A5F90278F3}">
  <ds:schemaRefs>
    <ds:schemaRef ds:uri="http://schemas.microsoft.com/office/2006/metadata/properties"/>
    <ds:schemaRef ds:uri="http://schemas.microsoft.com/office/infopath/2007/PartnerControls"/>
    <ds:schemaRef ds:uri="107815d9-ca69-4010-a571-38875b5f12e0"/>
    <ds:schemaRef ds:uri="bdedb154-dcf2-4d4a-8b3e-d585b69756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3</cp:revision>
  <dcterms:created xsi:type="dcterms:W3CDTF">2026-09-21T09:52:00Z</dcterms:created>
  <dcterms:modified xsi:type="dcterms:W3CDTF">2026-09-22T08:14:00Z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345a8450-0f19-47c7-9599-496d4f7bd3d3</vt:lpwstr>
  </property>
  <property fmtid="{D5CDD505-2E9C-101B-9397-08002B2CF9AE}" pid="3" name="ContentTypeId">
    <vt:lpwstr>0x010100CF6E5A3B343F2F49A0E6ADB59863A916</vt:lpwstr>
  </property>
  <property fmtid="{D5CDD505-2E9C-101B-9397-08002B2CF9AE}" pid="4" name="MediaServiceImageTags">
    <vt:lpwstr/>
  </property>
  <property fmtid="{D5CDD505-2E9C-101B-9397-08002B2CF9AE}" pid="5" name="docLang">
    <vt:lpwstr>en</vt:lpwstr>
  </property>
</Properties>
</file>